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635FA5" w:rsidRDefault="004C1092" w:rsidP="00983417">
      <w:pPr>
        <w:pStyle w:val="Title"/>
        <w:spacing w:after="120" w:line="240" w:lineRule="auto"/>
        <w:jc w:val="left"/>
        <w:rPr>
          <w:sz w:val="24"/>
          <w:szCs w:val="24"/>
        </w:rPr>
      </w:pPr>
    </w:p>
    <w:p w14:paraId="39FCDFA5" w14:textId="250346D5" w:rsidR="0064777F" w:rsidRPr="00635FA5" w:rsidRDefault="0064777F" w:rsidP="008838DB">
      <w:pPr>
        <w:pStyle w:val="Title"/>
        <w:spacing w:after="120" w:line="240" w:lineRule="auto"/>
        <w:rPr>
          <w:sz w:val="24"/>
          <w:szCs w:val="24"/>
        </w:rPr>
      </w:pPr>
      <w:r w:rsidRPr="00635FA5">
        <w:rPr>
          <w:sz w:val="24"/>
          <w:szCs w:val="24"/>
        </w:rPr>
        <w:t>NOTĂ DE FUNDAMENTARE</w:t>
      </w:r>
    </w:p>
    <w:p w14:paraId="1CA3C7C8" w14:textId="77777777" w:rsidR="00983417" w:rsidRPr="00635FA5" w:rsidRDefault="00983417" w:rsidP="00983417">
      <w:pPr>
        <w:pStyle w:val="Title"/>
        <w:spacing w:after="120" w:line="240" w:lineRule="auto"/>
        <w:rPr>
          <w:sz w:val="24"/>
          <w:szCs w:val="24"/>
        </w:rPr>
      </w:pPr>
    </w:p>
    <w:p w14:paraId="0448C4F0" w14:textId="77777777" w:rsidR="00223491" w:rsidRPr="00635FA5" w:rsidRDefault="00223491" w:rsidP="008838DB">
      <w:pPr>
        <w:pStyle w:val="Title"/>
        <w:spacing w:after="120" w:line="240" w:lineRule="auto"/>
        <w:ind w:firstLine="720"/>
        <w:jc w:val="left"/>
        <w:rPr>
          <w:sz w:val="24"/>
          <w:szCs w:val="24"/>
        </w:rPr>
      </w:pPr>
      <w:r w:rsidRPr="00635FA5">
        <w:rPr>
          <w:sz w:val="24"/>
          <w:szCs w:val="24"/>
        </w:rPr>
        <w:t>Secțiunea 1</w:t>
      </w:r>
    </w:p>
    <w:p w14:paraId="78C75447" w14:textId="76B7EDCC" w:rsidR="00223491" w:rsidRPr="00635FA5" w:rsidRDefault="00223491" w:rsidP="008838DB">
      <w:pPr>
        <w:pStyle w:val="Title"/>
        <w:spacing w:after="120" w:line="240" w:lineRule="auto"/>
        <w:ind w:firstLine="720"/>
        <w:jc w:val="left"/>
        <w:rPr>
          <w:sz w:val="24"/>
          <w:szCs w:val="24"/>
        </w:rPr>
      </w:pPr>
      <w:r w:rsidRPr="00635FA5">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635FA5" w14:paraId="117C71DD" w14:textId="77777777" w:rsidTr="00223491">
        <w:tc>
          <w:tcPr>
            <w:tcW w:w="10490" w:type="dxa"/>
          </w:tcPr>
          <w:p w14:paraId="1804961E" w14:textId="77777777" w:rsidR="00902751" w:rsidRPr="00635FA5" w:rsidRDefault="00902751" w:rsidP="00902751">
            <w:pPr>
              <w:jc w:val="both"/>
              <w:rPr>
                <w:b/>
                <w:lang w:eastAsia="ro-RO"/>
              </w:rPr>
            </w:pPr>
            <w:r w:rsidRPr="00635FA5">
              <w:rPr>
                <w:b/>
                <w:lang w:eastAsia="ro-RO"/>
              </w:rPr>
              <w:t xml:space="preserve">ORDONANȚĂ DE URGENȚĂ </w:t>
            </w:r>
          </w:p>
          <w:p w14:paraId="338F09EC" w14:textId="416CFAA3" w:rsidR="00670C79" w:rsidRPr="00635FA5" w:rsidRDefault="00EB6ADA" w:rsidP="00902751">
            <w:pPr>
              <w:jc w:val="both"/>
              <w:rPr>
                <w:b/>
                <w:lang w:eastAsia="ro-RO"/>
              </w:rPr>
            </w:pPr>
            <w:r w:rsidRPr="00635FA5">
              <w:rPr>
                <w:b/>
                <w:lang w:eastAsia="ro-RO"/>
              </w:rPr>
              <w:t>privind ajustarea prețurilor și a valorii devizelor generale în cadrul proiectelor finanțate din fonduri externe nerambursabile</w:t>
            </w:r>
          </w:p>
        </w:tc>
      </w:tr>
    </w:tbl>
    <w:p w14:paraId="2CE089BE" w14:textId="7BDFBE6D" w:rsidR="00BC6BCA" w:rsidRPr="00635FA5" w:rsidRDefault="00BC6BCA" w:rsidP="008838DB">
      <w:pPr>
        <w:spacing w:after="120"/>
        <w:rPr>
          <w:b/>
          <w:lang w:eastAsia="ro-RO"/>
        </w:rPr>
      </w:pPr>
    </w:p>
    <w:p w14:paraId="33C1CD30" w14:textId="77777777" w:rsidR="00223491" w:rsidRPr="00635FA5" w:rsidRDefault="00C5468F" w:rsidP="008838DB">
      <w:pPr>
        <w:spacing w:after="120"/>
        <w:ind w:firstLine="720"/>
        <w:jc w:val="both"/>
        <w:rPr>
          <w:b/>
          <w:lang w:eastAsia="ro-RO"/>
        </w:rPr>
      </w:pPr>
      <w:r w:rsidRPr="00635FA5">
        <w:rPr>
          <w:b/>
          <w:lang w:eastAsia="ro-RO"/>
        </w:rPr>
        <w:t>Secțiunea</w:t>
      </w:r>
      <w:r w:rsidR="00670C79" w:rsidRPr="00635FA5">
        <w:rPr>
          <w:b/>
          <w:lang w:eastAsia="ro-RO"/>
        </w:rPr>
        <w:t xml:space="preserve"> a 2-a  </w:t>
      </w:r>
    </w:p>
    <w:p w14:paraId="23181ACA" w14:textId="4A5ED943" w:rsidR="00CB78C4" w:rsidRPr="00635FA5" w:rsidRDefault="00670C79" w:rsidP="008838DB">
      <w:pPr>
        <w:spacing w:after="120"/>
        <w:ind w:firstLine="720"/>
        <w:jc w:val="both"/>
        <w:rPr>
          <w:b/>
          <w:lang w:eastAsia="ro-RO"/>
        </w:rPr>
      </w:pPr>
      <w:r w:rsidRPr="00635FA5">
        <w:rPr>
          <w:b/>
          <w:lang w:eastAsia="ro-RO"/>
        </w:rPr>
        <w:t>Motivul emiterii actului normativ</w:t>
      </w:r>
      <w:r w:rsidR="0066428B" w:rsidRPr="00635FA5">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9"/>
      </w:tblGrid>
      <w:tr w:rsidR="00223491" w:rsidRPr="00635FA5" w14:paraId="47D7FD1D" w14:textId="77777777" w:rsidTr="00BC06F9">
        <w:trPr>
          <w:trHeight w:val="841"/>
        </w:trPr>
        <w:tc>
          <w:tcPr>
            <w:tcW w:w="10490" w:type="dxa"/>
          </w:tcPr>
          <w:p w14:paraId="083EB0F1" w14:textId="2125ADEB" w:rsidR="008441CD" w:rsidRPr="00635FA5" w:rsidRDefault="00223491" w:rsidP="008838DB">
            <w:pPr>
              <w:autoSpaceDE w:val="0"/>
              <w:autoSpaceDN w:val="0"/>
              <w:adjustRightInd w:val="0"/>
              <w:spacing w:after="120"/>
              <w:jc w:val="both"/>
              <w:rPr>
                <w:lang w:eastAsia="ro-RO"/>
              </w:rPr>
            </w:pPr>
            <w:r w:rsidRPr="00DD5E00">
              <w:rPr>
                <w:lang w:eastAsia="ro-RO"/>
              </w:rPr>
              <w:t>2.1 Sursa proiectului de act normativ</w:t>
            </w:r>
            <w:r w:rsidRPr="00635FA5">
              <w:rPr>
                <w:lang w:eastAsia="ro-RO"/>
              </w:rPr>
              <w:t xml:space="preserve"> </w:t>
            </w:r>
          </w:p>
          <w:p w14:paraId="181918A1" w14:textId="325F282A" w:rsidR="00733688" w:rsidRPr="00635FA5" w:rsidRDefault="00DE0B13" w:rsidP="008838DB">
            <w:pPr>
              <w:autoSpaceDE w:val="0"/>
              <w:autoSpaceDN w:val="0"/>
              <w:adjustRightInd w:val="0"/>
              <w:spacing w:after="120"/>
              <w:jc w:val="both"/>
              <w:rPr>
                <w:lang w:eastAsia="ro-RO"/>
              </w:rPr>
            </w:pPr>
            <w:r w:rsidRPr="00635FA5">
              <w:rPr>
                <w:lang w:eastAsia="ro-RO"/>
              </w:rPr>
              <w:t xml:space="preserve">Ministerul Investițiilor și Proiectelor Europene, Ministerul Dezvoltării și Lucrărilor Publice și Ministerul Agriculturii și Dezvoltării Rurale </w:t>
            </w:r>
            <w:r w:rsidR="00902751" w:rsidRPr="00635FA5">
              <w:rPr>
                <w:lang w:eastAsia="ro-RO"/>
              </w:rPr>
              <w:t>exercită</w:t>
            </w:r>
            <w:r w:rsidRPr="00635FA5">
              <w:rPr>
                <w:lang w:eastAsia="ro-RO"/>
              </w:rPr>
              <w:t xml:space="preserve"> calitate</w:t>
            </w:r>
            <w:r w:rsidR="005429EF" w:rsidRPr="00635FA5">
              <w:rPr>
                <w:lang w:eastAsia="ro-RO"/>
              </w:rPr>
              <w:t>a</w:t>
            </w:r>
            <w:r w:rsidRPr="00635FA5">
              <w:rPr>
                <w:lang w:eastAsia="ro-RO"/>
              </w:rPr>
              <w:t xml:space="preserve"> de autoritate management</w:t>
            </w:r>
            <w:r w:rsidR="00D07BCA" w:rsidRPr="00635FA5">
              <w:rPr>
                <w:lang w:eastAsia="ro-RO"/>
              </w:rPr>
              <w:t>/de implementare</w:t>
            </w:r>
            <w:r w:rsidRPr="00635FA5">
              <w:rPr>
                <w:lang w:eastAsia="ro-RO"/>
              </w:rPr>
              <w:t xml:space="preserve"> pentru </w:t>
            </w:r>
            <w:r w:rsidR="00D07BCA" w:rsidRPr="00635FA5">
              <w:rPr>
                <w:lang w:eastAsia="ro-RO"/>
              </w:rPr>
              <w:t>gestionarea și coordonarea</w:t>
            </w:r>
            <w:r w:rsidRPr="00635FA5">
              <w:rPr>
                <w:lang w:eastAsia="ro-RO"/>
              </w:rPr>
              <w:t xml:space="preserve"> fondurilor externe nerambursabile alocate României. </w:t>
            </w:r>
          </w:p>
          <w:p w14:paraId="41B07426" w14:textId="295CABD4" w:rsidR="005B6E0F" w:rsidRPr="00635FA5" w:rsidRDefault="00DE0B13" w:rsidP="008838DB">
            <w:pPr>
              <w:autoSpaceDE w:val="0"/>
              <w:autoSpaceDN w:val="0"/>
              <w:adjustRightInd w:val="0"/>
              <w:spacing w:after="120"/>
              <w:jc w:val="both"/>
              <w:rPr>
                <w:lang w:eastAsia="ro-RO"/>
              </w:rPr>
            </w:pPr>
            <w:r w:rsidRPr="00635FA5">
              <w:rPr>
                <w:lang w:eastAsia="ro-RO"/>
              </w:rPr>
              <w:t xml:space="preserve">În această calitate, au constatat reducerea </w:t>
            </w:r>
            <w:r w:rsidR="005429EF" w:rsidRPr="00635FA5">
              <w:rPr>
                <w:lang w:eastAsia="ro-RO"/>
              </w:rPr>
              <w:t xml:space="preserve">sau blocarea </w:t>
            </w:r>
            <w:r w:rsidRPr="00635FA5">
              <w:rPr>
                <w:lang w:eastAsia="ro-RO"/>
              </w:rPr>
              <w:t>ritmului de implementare a</w:t>
            </w:r>
            <w:r w:rsidR="005429EF" w:rsidRPr="00635FA5">
              <w:rPr>
                <w:lang w:eastAsia="ro-RO"/>
              </w:rPr>
              <w:t>l</w:t>
            </w:r>
            <w:r w:rsidRPr="00635FA5">
              <w:rPr>
                <w:lang w:eastAsia="ro-RO"/>
              </w:rPr>
              <w:t xml:space="preserve"> proiectelor care au în comp</w:t>
            </w:r>
            <w:r w:rsidR="00FA1098" w:rsidRPr="00635FA5">
              <w:rPr>
                <w:lang w:eastAsia="ro-RO"/>
              </w:rPr>
              <w:t>o</w:t>
            </w:r>
            <w:r w:rsidRPr="00635FA5">
              <w:rPr>
                <w:lang w:eastAsia="ro-RO"/>
              </w:rPr>
              <w:t xml:space="preserve">nență contracte de achiziție de lucrări și produse ce au legătură cu respectivele lucrări </w:t>
            </w:r>
            <w:r w:rsidR="00FA1098" w:rsidRPr="00635FA5">
              <w:rPr>
                <w:lang w:eastAsia="ro-RO"/>
              </w:rPr>
              <w:t xml:space="preserve">sau care includ execuție de lucrări în cadrul prestării de servicii </w:t>
            </w:r>
            <w:r w:rsidRPr="00635FA5">
              <w:rPr>
                <w:lang w:eastAsia="ro-RO"/>
              </w:rPr>
              <w:t>din cauze imprevizibile generate de situația pandemică și de conflict armat din Ucraina</w:t>
            </w:r>
            <w:r w:rsidR="00E632E1" w:rsidRPr="00635FA5">
              <w:rPr>
                <w:lang w:eastAsia="ro-RO"/>
              </w:rPr>
              <w:t>,</w:t>
            </w:r>
            <w:r w:rsidR="005B6E0F" w:rsidRPr="00635FA5">
              <w:rPr>
                <w:lang w:eastAsia="ro-RO"/>
              </w:rPr>
              <w:t xml:space="preserve"> în contextul unei crize generalizate a prețului la energie, respectiv creșterea prețului la carburanți, gazele naturale și energia electrică</w:t>
            </w:r>
            <w:r w:rsidRPr="00635FA5">
              <w:rPr>
                <w:lang w:eastAsia="ro-RO"/>
              </w:rPr>
              <w:t xml:space="preserve">. </w:t>
            </w:r>
          </w:p>
          <w:p w14:paraId="6338B935" w14:textId="00F8DB1B" w:rsidR="00D125BB" w:rsidRPr="00635FA5" w:rsidRDefault="00D125BB" w:rsidP="008838DB">
            <w:pPr>
              <w:autoSpaceDE w:val="0"/>
              <w:autoSpaceDN w:val="0"/>
              <w:adjustRightInd w:val="0"/>
              <w:spacing w:after="120"/>
              <w:jc w:val="both"/>
              <w:rPr>
                <w:lang w:eastAsia="ro-RO"/>
              </w:rPr>
            </w:pPr>
            <w:r w:rsidRPr="00635FA5">
              <w:rPr>
                <w:lang w:eastAsia="ro-RO"/>
              </w:rPr>
              <w:t>Toate aceste evenimente succesive nu au putut fi prevăzute în mod firesc la data la care au fost elaborate și depuse ofertele în cadrul proceselor de achiziție.</w:t>
            </w:r>
          </w:p>
          <w:p w14:paraId="5D44C116" w14:textId="5A296569" w:rsidR="00EB6ADA" w:rsidRPr="00635FA5" w:rsidRDefault="00EB6ADA" w:rsidP="008838DB">
            <w:pPr>
              <w:autoSpaceDE w:val="0"/>
              <w:autoSpaceDN w:val="0"/>
              <w:adjustRightInd w:val="0"/>
              <w:spacing w:after="120"/>
              <w:jc w:val="both"/>
              <w:rPr>
                <w:lang w:eastAsia="ro-RO"/>
              </w:rPr>
            </w:pPr>
            <w:r w:rsidRPr="00635FA5">
              <w:rPr>
                <w:lang w:eastAsia="ro-RO"/>
              </w:rPr>
              <w:t xml:space="preserve">Sunt </w:t>
            </w:r>
            <w:r w:rsidR="00313BF1">
              <w:rPr>
                <w:lang w:eastAsia="ro-RO"/>
              </w:rPr>
              <w:t xml:space="preserve">obiect </w:t>
            </w:r>
            <w:r w:rsidR="005429EF" w:rsidRPr="00635FA5">
              <w:rPr>
                <w:lang w:eastAsia="ro-RO"/>
              </w:rPr>
              <w:t>individualizat</w:t>
            </w:r>
            <w:r w:rsidRPr="00635FA5">
              <w:rPr>
                <w:lang w:eastAsia="ro-RO"/>
              </w:rPr>
              <w:t xml:space="preserve"> al ordonanței contractele de lucrări </w:t>
            </w:r>
            <w:r w:rsidR="001C1FCF">
              <w:rPr>
                <w:lang w:eastAsia="ro-RO"/>
              </w:rPr>
              <w:t>parte a</w:t>
            </w:r>
            <w:r w:rsidRPr="00635FA5">
              <w:rPr>
                <w:lang w:eastAsia="ro-RO"/>
              </w:rPr>
              <w:t xml:space="preserve"> proiectel</w:t>
            </w:r>
            <w:r w:rsidR="001C1FCF">
              <w:rPr>
                <w:lang w:eastAsia="ro-RO"/>
              </w:rPr>
              <w:t>or</w:t>
            </w:r>
            <w:r w:rsidRPr="00635FA5">
              <w:rPr>
                <w:lang w:eastAsia="ro-RO"/>
              </w:rPr>
              <w:t xml:space="preserve"> de infrastructură de transport, apă-apă uzata și deșeuri.</w:t>
            </w:r>
          </w:p>
          <w:p w14:paraId="6C6FA1CC" w14:textId="652142E7" w:rsidR="00FA1098" w:rsidRPr="00635FA5" w:rsidRDefault="00FA1098" w:rsidP="008838DB">
            <w:pPr>
              <w:autoSpaceDE w:val="0"/>
              <w:autoSpaceDN w:val="0"/>
              <w:adjustRightInd w:val="0"/>
              <w:spacing w:after="120"/>
              <w:jc w:val="both"/>
              <w:rPr>
                <w:lang w:eastAsia="ro-RO"/>
              </w:rPr>
            </w:pPr>
            <w:r w:rsidRPr="00635FA5">
              <w:rPr>
                <w:lang w:eastAsia="ro-RO"/>
              </w:rPr>
              <w:t xml:space="preserve">De asemenea, în această situație sunt și unele contracte de produse cum sunt cele care au ca obiect </w:t>
            </w:r>
            <w:r w:rsidR="00EB6ADA" w:rsidRPr="00635FA5">
              <w:rPr>
                <w:lang w:eastAsia="ro-RO"/>
              </w:rPr>
              <w:t>active corporale și necorporale, conform H</w:t>
            </w:r>
            <w:r w:rsidR="00313BF1">
              <w:rPr>
                <w:lang w:eastAsia="ro-RO"/>
              </w:rPr>
              <w:t xml:space="preserve">otărârii </w:t>
            </w:r>
            <w:r w:rsidR="00EB6ADA" w:rsidRPr="00635FA5">
              <w:rPr>
                <w:lang w:eastAsia="ro-RO"/>
              </w:rPr>
              <w:t>G</w:t>
            </w:r>
            <w:r w:rsidR="00313BF1">
              <w:rPr>
                <w:lang w:eastAsia="ro-RO"/>
              </w:rPr>
              <w:t>uvernului</w:t>
            </w:r>
            <w:r w:rsidR="00EB6ADA" w:rsidRPr="00635FA5">
              <w:rPr>
                <w:lang w:eastAsia="ro-RO"/>
              </w:rPr>
              <w:t xml:space="preserve"> nr. 2.139/2004 pentru aprobarea Catalogului privind clasificarea și duratele normale de funcționare a mijloacelor fixe, cu modificările și completările ulterioare</w:t>
            </w:r>
            <w:r w:rsidRPr="00635FA5">
              <w:rPr>
                <w:lang w:eastAsia="ro-RO"/>
              </w:rPr>
              <w:t>.</w:t>
            </w:r>
          </w:p>
          <w:p w14:paraId="541998CC" w14:textId="75246D6B" w:rsidR="00D125BB" w:rsidRPr="00635FA5" w:rsidRDefault="00D125BB" w:rsidP="008838DB">
            <w:pPr>
              <w:autoSpaceDE w:val="0"/>
              <w:autoSpaceDN w:val="0"/>
              <w:adjustRightInd w:val="0"/>
              <w:spacing w:after="120"/>
              <w:jc w:val="both"/>
              <w:rPr>
                <w:lang w:eastAsia="ro-RO"/>
              </w:rPr>
            </w:pPr>
            <w:r w:rsidRPr="00635FA5">
              <w:rPr>
                <w:lang w:eastAsia="ro-RO"/>
              </w:rPr>
              <w:t>Sub incidența prezentei ordonanțe intră contractele de achiziție publică/contractele sectoriale/acordurilor –cadru atribuite și reglementate de legislația în domeniul achizițiilor publice și sectoriale dar și alte categorii de contracte atribuite de beneficiarii privați de fonduri externe nerambursabile</w:t>
            </w:r>
            <w:r w:rsidR="00940057" w:rsidRPr="00635FA5">
              <w:rPr>
                <w:lang w:eastAsia="ro-RO"/>
              </w:rPr>
              <w:t>, conform Ordinului nr. 1284/2016 privind aprobarea procedurii competitive aplicabile solicitanților/beneficiarilor privați pentru atribuirea contractelor de furnizare, servicii sau lucrări finanțate din fonduri europene</w:t>
            </w:r>
            <w:r w:rsidRPr="00635FA5">
              <w:rPr>
                <w:lang w:eastAsia="ro-RO"/>
              </w:rPr>
              <w:t>.</w:t>
            </w:r>
          </w:p>
          <w:p w14:paraId="7C10E83B" w14:textId="09E546DC" w:rsidR="00A03C1C" w:rsidRPr="00635FA5" w:rsidRDefault="00FA1098" w:rsidP="008838DB">
            <w:pPr>
              <w:autoSpaceDE w:val="0"/>
              <w:autoSpaceDN w:val="0"/>
              <w:adjustRightInd w:val="0"/>
              <w:spacing w:after="120"/>
              <w:jc w:val="both"/>
              <w:rPr>
                <w:lang w:eastAsia="ro-RO"/>
              </w:rPr>
            </w:pPr>
            <w:r w:rsidRPr="00635FA5">
              <w:rPr>
                <w:lang w:eastAsia="ro-RO"/>
              </w:rPr>
              <w:t xml:space="preserve">Această gamă variantă de contracte </w:t>
            </w:r>
            <w:r w:rsidR="00A03C1C" w:rsidRPr="00635FA5">
              <w:rPr>
                <w:lang w:eastAsia="ro-RO"/>
              </w:rPr>
              <w:t>se află în diferite stadii de execuție și prezintă diferite particularități</w:t>
            </w:r>
            <w:r w:rsidR="00940057" w:rsidRPr="00635FA5">
              <w:rPr>
                <w:lang w:eastAsia="ro-RO"/>
              </w:rPr>
              <w:t xml:space="preserve"> de stabilire a drepturilor și obligațiilor între părțile semnatare</w:t>
            </w:r>
            <w:r w:rsidR="00A03C1C" w:rsidRPr="00635FA5">
              <w:rPr>
                <w:lang w:eastAsia="ro-RO"/>
              </w:rPr>
              <w:t>, după cum urmează:</w:t>
            </w:r>
          </w:p>
          <w:p w14:paraId="2D3BDA00" w14:textId="3586ABB1" w:rsidR="00A03C1C" w:rsidRPr="00DD5E00" w:rsidRDefault="00FA1098" w:rsidP="005429EF">
            <w:pPr>
              <w:pStyle w:val="ListParagraph"/>
              <w:numPr>
                <w:ilvl w:val="0"/>
                <w:numId w:val="20"/>
              </w:numPr>
              <w:autoSpaceDE w:val="0"/>
              <w:autoSpaceDN w:val="0"/>
              <w:adjustRightInd w:val="0"/>
              <w:spacing w:after="120"/>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 xml:space="preserve">nu au clauză de ajustare </w:t>
            </w:r>
            <w:r w:rsidR="005429EF" w:rsidRPr="00DD5E00">
              <w:rPr>
                <w:rFonts w:ascii="Times New Roman" w:eastAsia="Times New Roman" w:hAnsi="Times New Roman" w:cs="Times New Roman"/>
                <w:lang w:eastAsia="ro-RO"/>
              </w:rPr>
              <w:t>inclusă în contractul de achiziție;</w:t>
            </w:r>
          </w:p>
          <w:p w14:paraId="2DBF4E27" w14:textId="61ED118D" w:rsidR="00A03C1C" w:rsidRPr="00DD5E00" w:rsidRDefault="00FA1098" w:rsidP="005429EF">
            <w:pPr>
              <w:pStyle w:val="ListParagraph"/>
              <w:numPr>
                <w:ilvl w:val="0"/>
                <w:numId w:val="20"/>
              </w:numPr>
              <w:autoSpaceDE w:val="0"/>
              <w:autoSpaceDN w:val="0"/>
              <w:adjustRightInd w:val="0"/>
              <w:spacing w:after="120"/>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 xml:space="preserve">cuprind o clauză de ajustare </w:t>
            </w:r>
            <w:r w:rsidR="00A03C1C" w:rsidRPr="00DD5E00">
              <w:rPr>
                <w:rFonts w:ascii="Times New Roman" w:eastAsia="Times New Roman" w:hAnsi="Times New Roman" w:cs="Times New Roman"/>
                <w:lang w:eastAsia="ro-RO"/>
              </w:rPr>
              <w:t>inactivă pentru o perioadă previzionată de timp</w:t>
            </w:r>
            <w:r w:rsidR="005429EF" w:rsidRPr="00DD5E00">
              <w:rPr>
                <w:rFonts w:ascii="Times New Roman" w:eastAsia="Times New Roman" w:hAnsi="Times New Roman" w:cs="Times New Roman"/>
                <w:lang w:eastAsia="ro-RO"/>
              </w:rPr>
              <w:t>;</w:t>
            </w:r>
          </w:p>
          <w:p w14:paraId="61C0C7CA" w14:textId="1A8F3185" w:rsidR="00FA1098" w:rsidRPr="00DD5E00" w:rsidRDefault="00A03C1C" w:rsidP="005429EF">
            <w:pPr>
              <w:pStyle w:val="ListParagraph"/>
              <w:numPr>
                <w:ilvl w:val="0"/>
                <w:numId w:val="20"/>
              </w:numPr>
              <w:autoSpaceDE w:val="0"/>
              <w:autoSpaceDN w:val="0"/>
              <w:adjustRightInd w:val="0"/>
              <w:spacing w:after="120"/>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au o formulă de ajustare a prețului care nu asigură, în perioada de imprevizibilitate</w:t>
            </w:r>
            <w:r w:rsidR="005429EF" w:rsidRPr="00DD5E00">
              <w:rPr>
                <w:rFonts w:ascii="Times New Roman" w:eastAsia="Times New Roman" w:hAnsi="Times New Roman" w:cs="Times New Roman"/>
                <w:lang w:eastAsia="ro-RO"/>
              </w:rPr>
              <w:t>,</w:t>
            </w:r>
            <w:r w:rsidRPr="00DD5E00">
              <w:rPr>
                <w:rFonts w:ascii="Times New Roman" w:eastAsia="Times New Roman" w:hAnsi="Times New Roman" w:cs="Times New Roman"/>
                <w:lang w:eastAsia="ro-RO"/>
              </w:rPr>
              <w:t xml:space="preserve"> reechilibrarea condițiilor contractuale și finalizarea implementării proiectelor</w:t>
            </w:r>
            <w:r w:rsidR="00FA1098" w:rsidRPr="00DD5E00">
              <w:rPr>
                <w:rFonts w:ascii="Times New Roman" w:eastAsia="Times New Roman" w:hAnsi="Times New Roman" w:cs="Times New Roman"/>
                <w:lang w:eastAsia="ro-RO"/>
              </w:rPr>
              <w:t xml:space="preserve">. </w:t>
            </w:r>
          </w:p>
          <w:p w14:paraId="026B7DA2" w14:textId="4E9EFC6F" w:rsidR="005429EF" w:rsidRPr="00635FA5" w:rsidRDefault="005429EF" w:rsidP="005429EF">
            <w:pPr>
              <w:autoSpaceDE w:val="0"/>
              <w:autoSpaceDN w:val="0"/>
              <w:adjustRightInd w:val="0"/>
              <w:spacing w:after="120"/>
              <w:jc w:val="both"/>
              <w:rPr>
                <w:lang w:eastAsia="ro-RO"/>
              </w:rPr>
            </w:pPr>
            <w:r w:rsidRPr="00635FA5">
              <w:rPr>
                <w:lang w:eastAsia="ro-RO"/>
              </w:rPr>
              <w:t xml:space="preserve">Totodată este necesar ca procesele de achiziții care se inițiază în perioada imediat următoare să includă soluții care să asigure implementarea în bune condiții a contractelor, astfel încât acestea să nu mai fie în situația descrisă mai sus. Aceste achiziții trebuie să includă formule de ajustare a prețului care să acopere riscul </w:t>
            </w:r>
            <w:r w:rsidR="004E3133" w:rsidRPr="00635FA5">
              <w:rPr>
                <w:lang w:eastAsia="ro-RO"/>
              </w:rPr>
              <w:lastRenderedPageBreak/>
              <w:t>evoluției prețurilor.</w:t>
            </w:r>
          </w:p>
          <w:p w14:paraId="36C32531" w14:textId="56232FB5" w:rsidR="00223491" w:rsidRPr="00635FA5" w:rsidRDefault="00DE0B13" w:rsidP="008838DB">
            <w:pPr>
              <w:autoSpaceDE w:val="0"/>
              <w:autoSpaceDN w:val="0"/>
              <w:adjustRightInd w:val="0"/>
              <w:spacing w:after="120"/>
              <w:jc w:val="both"/>
              <w:rPr>
                <w:lang w:eastAsia="ro-RO"/>
              </w:rPr>
            </w:pPr>
            <w:r w:rsidRPr="00635FA5">
              <w:rPr>
                <w:lang w:eastAsia="ro-RO"/>
              </w:rPr>
              <w:t>În acest context, se impune reglementarea unor prevederi legale pentru soluționarea situației identificate</w:t>
            </w:r>
            <w:r w:rsidR="005B6E0F" w:rsidRPr="00635FA5">
              <w:rPr>
                <w:lang w:eastAsia="ro-RO"/>
              </w:rPr>
              <w:t xml:space="preserve">, în sensul ajustării prețurilor contractelor de achiziții/acordurilor </w:t>
            </w:r>
            <w:r w:rsidR="007D1B4B" w:rsidRPr="00635FA5">
              <w:rPr>
                <w:lang w:eastAsia="ro-RO"/>
              </w:rPr>
              <w:t>–</w:t>
            </w:r>
            <w:r w:rsidR="005B6E0F" w:rsidRPr="00635FA5">
              <w:rPr>
                <w:lang w:eastAsia="ro-RO"/>
              </w:rPr>
              <w:t xml:space="preserve"> cadru</w:t>
            </w:r>
            <w:r w:rsidR="007D1B4B" w:rsidRPr="00635FA5">
              <w:rPr>
                <w:lang w:eastAsia="ro-RO"/>
              </w:rPr>
              <w:t xml:space="preserve"> numai pentru reechilibrarea drepturilor și oblig</w:t>
            </w:r>
            <w:r w:rsidR="00333928" w:rsidRPr="00635FA5">
              <w:rPr>
                <w:lang w:eastAsia="ro-RO"/>
              </w:rPr>
              <w:t>ațiilor contractuale</w:t>
            </w:r>
            <w:r w:rsidR="005B6E0F" w:rsidRPr="00635FA5">
              <w:rPr>
                <w:lang w:eastAsia="ro-RO"/>
              </w:rPr>
              <w:t>, fapt ce trebuie realizat cu respectarea contractelor de finanțare dar și cu respectarea prevederilor legale în materie de achiziții, pentru a preveni situația aplicării de reduceri procentuale/corecții</w:t>
            </w:r>
            <w:r w:rsidR="00E632E1" w:rsidRPr="00635FA5">
              <w:rPr>
                <w:lang w:eastAsia="ro-RO"/>
              </w:rPr>
              <w:t xml:space="preserve"> și pentru a nu încetini ritmul absorbției fondurilor europene nerambursabile</w:t>
            </w:r>
            <w:r w:rsidR="005B6E0F" w:rsidRPr="00635FA5">
              <w:rPr>
                <w:lang w:eastAsia="ro-RO"/>
              </w:rPr>
              <w:t>.</w:t>
            </w:r>
          </w:p>
          <w:p w14:paraId="1EEA26F8" w14:textId="200A30C4" w:rsidR="00290E6F" w:rsidRPr="00635FA5" w:rsidRDefault="00290E6F" w:rsidP="008838DB">
            <w:pPr>
              <w:autoSpaceDE w:val="0"/>
              <w:autoSpaceDN w:val="0"/>
              <w:adjustRightInd w:val="0"/>
              <w:spacing w:after="120"/>
              <w:jc w:val="both"/>
              <w:rPr>
                <w:lang w:eastAsia="ro-RO"/>
              </w:rPr>
            </w:pPr>
            <w:r w:rsidRPr="00635FA5">
              <w:rPr>
                <w:lang w:eastAsia="ro-RO"/>
              </w:rPr>
              <w:t>Prezenta ordonanță de urgență a avut în vedere reglementarea ajustării prețurilor din contracte și implicit a valorii contractelor de finanțare  prin raportare la specificul programelor operaționale</w:t>
            </w:r>
            <w:r w:rsidR="00B81140">
              <w:rPr>
                <w:lang w:eastAsia="ro-RO"/>
              </w:rPr>
              <w:t xml:space="preserve"> </w:t>
            </w:r>
            <w:r w:rsidRPr="00635FA5">
              <w:rPr>
                <w:lang w:eastAsia="ro-RO"/>
              </w:rPr>
              <w:t>.</w:t>
            </w:r>
          </w:p>
          <w:p w14:paraId="1BCD4B2D" w14:textId="614AFC35" w:rsidR="00C65412" w:rsidRPr="00635FA5" w:rsidRDefault="00D125BB" w:rsidP="008838DB">
            <w:pPr>
              <w:autoSpaceDE w:val="0"/>
              <w:autoSpaceDN w:val="0"/>
              <w:adjustRightInd w:val="0"/>
              <w:spacing w:after="120"/>
              <w:jc w:val="both"/>
              <w:rPr>
                <w:lang w:eastAsia="ro-RO"/>
              </w:rPr>
            </w:pPr>
            <w:r w:rsidRPr="00635FA5">
              <w:rPr>
                <w:lang w:eastAsia="ro-RO"/>
              </w:rPr>
              <w:t xml:space="preserve">Reechilibrarea contractuală presupune </w:t>
            </w:r>
            <w:r w:rsidR="00D07BCA" w:rsidRPr="00635FA5">
              <w:rPr>
                <w:lang w:eastAsia="ro-RO"/>
              </w:rPr>
              <w:t>ajustarea de preț și determinarea corectă a duratei de execuție</w:t>
            </w:r>
            <w:r w:rsidR="001C1FCF">
              <w:rPr>
                <w:lang w:eastAsia="ro-RO"/>
              </w:rPr>
              <w:t xml:space="preserve"> -</w:t>
            </w:r>
            <w:r w:rsidR="00D07BCA" w:rsidRPr="00635FA5">
              <w:rPr>
                <w:lang w:eastAsia="ro-RO"/>
              </w:rPr>
              <w:t xml:space="preserve"> modificări</w:t>
            </w:r>
            <w:r w:rsidRPr="00635FA5">
              <w:rPr>
                <w:lang w:eastAsia="ro-RO"/>
              </w:rPr>
              <w:t xml:space="preserve"> ale contractelor de achiziție publică/contractelor sectoriale/acordurilor –cadru dar și al altor categorii de contracte  (atribuite de beneficiarii privați)</w:t>
            </w:r>
            <w:r w:rsidR="001C1FCF">
              <w:rPr>
                <w:lang w:eastAsia="ro-RO"/>
              </w:rPr>
              <w:t xml:space="preserve"> realizate</w:t>
            </w:r>
            <w:r w:rsidRPr="00635FA5">
              <w:rPr>
                <w:lang w:eastAsia="ro-RO"/>
              </w:rPr>
              <w:t xml:space="preserve"> prin acte adiționale</w:t>
            </w:r>
            <w:r w:rsidR="00D82B67" w:rsidRPr="00635FA5">
              <w:rPr>
                <w:lang w:eastAsia="ro-RO"/>
              </w:rPr>
              <w:t>,</w:t>
            </w:r>
            <w:r w:rsidRPr="00635FA5">
              <w:rPr>
                <w:lang w:eastAsia="ro-RO"/>
              </w:rPr>
              <w:t xml:space="preserve"> încheiate potrivit legii, ca urmare a apariției unor cauze imprevizibile în implementarea acestora, care au condus la creșteri ale prețului contractului prin creșteri ale prețurilor la materiale, utilaje, manoperă, transport dar și altor creșteri care pun în dificultate implementarea proiectelor</w:t>
            </w:r>
            <w:r w:rsidR="00D82B67" w:rsidRPr="00635FA5">
              <w:rPr>
                <w:lang w:eastAsia="ro-RO"/>
              </w:rPr>
              <w:t xml:space="preserve">. </w:t>
            </w:r>
          </w:p>
          <w:p w14:paraId="6F737B1B" w14:textId="1B0B4E73" w:rsidR="00D125BB" w:rsidRPr="00635FA5" w:rsidRDefault="00A10891" w:rsidP="008838DB">
            <w:pPr>
              <w:autoSpaceDE w:val="0"/>
              <w:autoSpaceDN w:val="0"/>
              <w:adjustRightInd w:val="0"/>
              <w:spacing w:after="120"/>
              <w:jc w:val="both"/>
              <w:rPr>
                <w:lang w:eastAsia="ro-RO"/>
              </w:rPr>
            </w:pPr>
            <w:r w:rsidRPr="00635FA5">
              <w:rPr>
                <w:lang w:eastAsia="ro-RO"/>
              </w:rPr>
              <w:t>Schimbarea condițiilor economice, pe bază cărora s-a fundamentat prețul contractelor</w:t>
            </w:r>
            <w:r w:rsidR="00FB6753" w:rsidRPr="00635FA5">
              <w:rPr>
                <w:lang w:eastAsia="ro-RO"/>
              </w:rPr>
              <w:t xml:space="preserve"> și reechilibrarea contractuală </w:t>
            </w:r>
            <w:r w:rsidR="00D82B67" w:rsidRPr="00635FA5">
              <w:rPr>
                <w:lang w:eastAsia="ro-RO"/>
              </w:rPr>
              <w:t>se analizează de beneficiarul de fonduri externe nerambursabile pentru fiecare contract în parte.</w:t>
            </w:r>
          </w:p>
          <w:p w14:paraId="7BFE9A4C" w14:textId="0CD9725D" w:rsidR="006E2EDF" w:rsidRPr="00635FA5" w:rsidRDefault="006E2EDF" w:rsidP="008838DB">
            <w:pPr>
              <w:autoSpaceDE w:val="0"/>
              <w:autoSpaceDN w:val="0"/>
              <w:adjustRightInd w:val="0"/>
              <w:spacing w:after="120"/>
              <w:jc w:val="both"/>
              <w:rPr>
                <w:lang w:eastAsia="ro-RO"/>
              </w:rPr>
            </w:pPr>
            <w:r w:rsidRPr="00635FA5">
              <w:rPr>
                <w:lang w:eastAsia="ro-RO"/>
              </w:rPr>
              <w:t>De aseme</w:t>
            </w:r>
            <w:r w:rsidR="00414091" w:rsidRPr="00635FA5">
              <w:rPr>
                <w:lang w:eastAsia="ro-RO"/>
              </w:rPr>
              <w:t xml:space="preserve">nea, în acest context economic general afectat, se consemnează și situația particulară a unor achiziții din cadrul proiectelor europene </w:t>
            </w:r>
            <w:r w:rsidR="004E3133" w:rsidRPr="00635FA5">
              <w:rPr>
                <w:lang w:eastAsia="ro-RO"/>
              </w:rPr>
              <w:t xml:space="preserve">evaluate și aprobate </w:t>
            </w:r>
            <w:r w:rsidR="00414091" w:rsidRPr="00635FA5">
              <w:rPr>
                <w:lang w:eastAsia="ro-RO"/>
              </w:rPr>
              <w:t>care nu au fost încă inițiate și publicate sau care sunt în situația de a fi reluate deoarece valoarea estimată inițial nu mai corespunde cu realitatea de pe piață.</w:t>
            </w:r>
          </w:p>
          <w:p w14:paraId="2DF6E18B" w14:textId="037E2CF8" w:rsidR="00414091" w:rsidRPr="00635FA5" w:rsidRDefault="00414091" w:rsidP="008838DB">
            <w:pPr>
              <w:autoSpaceDE w:val="0"/>
              <w:autoSpaceDN w:val="0"/>
              <w:adjustRightInd w:val="0"/>
              <w:spacing w:after="120"/>
              <w:jc w:val="both"/>
              <w:rPr>
                <w:lang w:eastAsia="ro-RO"/>
              </w:rPr>
            </w:pPr>
            <w:r w:rsidRPr="00635FA5">
              <w:rPr>
                <w:lang w:eastAsia="ro-RO"/>
              </w:rPr>
              <w:t xml:space="preserve">Valorile estimate erau în acord cu realitatea economică de la momentul evaluării și aprobării proiectelor dar acum </w:t>
            </w:r>
            <w:r w:rsidR="004E3133" w:rsidRPr="00635FA5">
              <w:rPr>
                <w:lang w:eastAsia="ro-RO"/>
              </w:rPr>
              <w:t>acestea</w:t>
            </w:r>
            <w:r w:rsidRPr="00635FA5">
              <w:rPr>
                <w:lang w:eastAsia="ro-RO"/>
              </w:rPr>
              <w:t xml:space="preserve"> </w:t>
            </w:r>
            <w:r w:rsidR="004E3133" w:rsidRPr="00635FA5">
              <w:rPr>
                <w:lang w:eastAsia="ro-RO"/>
              </w:rPr>
              <w:t>sunt</w:t>
            </w:r>
            <w:r w:rsidRPr="00635FA5">
              <w:rPr>
                <w:lang w:eastAsia="ro-RO"/>
              </w:rPr>
              <w:t xml:space="preserve"> subevaluat</w:t>
            </w:r>
            <w:r w:rsidR="004E3133" w:rsidRPr="00635FA5">
              <w:rPr>
                <w:lang w:eastAsia="ro-RO"/>
              </w:rPr>
              <w:t>e</w:t>
            </w:r>
            <w:r w:rsidRPr="00635FA5">
              <w:rPr>
                <w:lang w:eastAsia="ro-RO"/>
              </w:rPr>
              <w:t>.</w:t>
            </w:r>
          </w:p>
          <w:p w14:paraId="06B458D8" w14:textId="2178CD28" w:rsidR="00414091" w:rsidRPr="00635FA5" w:rsidRDefault="00414091" w:rsidP="008838DB">
            <w:pPr>
              <w:autoSpaceDE w:val="0"/>
              <w:autoSpaceDN w:val="0"/>
              <w:adjustRightInd w:val="0"/>
              <w:spacing w:after="120"/>
              <w:jc w:val="both"/>
              <w:rPr>
                <w:lang w:eastAsia="ro-RO"/>
              </w:rPr>
            </w:pPr>
            <w:r w:rsidRPr="00635FA5">
              <w:rPr>
                <w:lang w:eastAsia="ro-RO"/>
              </w:rPr>
              <w:t>În majoritatea cazurilor, pentru proiectele de infrastructură de apă și apă uzată studiile de fezabilitate și devizele generale aferente acestor proiecte au fost elaborate în perioada anilor 2014 – 2015 și pe cale de consecință costurile avute în vedere la determinarea valorii proiectelor și a valorii estimate a contractelor nu mai reflectă realitatea în care urmează a fi implementate proiectele. Această discrepanță a avut drept cauză perioada extrem de lungă în care au fost elaborate și aprobate aplicațiile de finanțare.</w:t>
            </w:r>
          </w:p>
          <w:p w14:paraId="10C7827E" w14:textId="77777777" w:rsidR="00414091" w:rsidRPr="00635FA5" w:rsidRDefault="00414091" w:rsidP="00414091">
            <w:pPr>
              <w:autoSpaceDE w:val="0"/>
              <w:autoSpaceDN w:val="0"/>
              <w:adjustRightInd w:val="0"/>
              <w:spacing w:after="120"/>
              <w:jc w:val="both"/>
              <w:rPr>
                <w:lang w:eastAsia="ro-RO"/>
              </w:rPr>
            </w:pPr>
            <w:r w:rsidRPr="00635FA5">
              <w:rPr>
                <w:lang w:eastAsia="ro-RO"/>
              </w:rPr>
              <w:t>În ceea ce privește proiectele de infrastructură publică finanțate prin Obiectivul Specific 8.2 - ”Creșterea gradului de interconectare a Sistemului Național de Transport a gazelor naturale cu alte state vecine” al Programului operațional Infrastructură mare 2014-2020, pentru acestea Studiile de Fezabilitate și Devizele Generale aferente acestor proiecte au fost elaborate la nivelul anului 2019-2020. Față de media anului 2020 (anul de depunere a cererilor de finanțare), costurile au crescut cu 18,4% până în momentul de față.</w:t>
            </w:r>
          </w:p>
          <w:p w14:paraId="55ADBF3A" w14:textId="7B70B0E7" w:rsidR="00414091" w:rsidRPr="00635FA5" w:rsidRDefault="00414091" w:rsidP="00414091">
            <w:pPr>
              <w:autoSpaceDE w:val="0"/>
              <w:autoSpaceDN w:val="0"/>
              <w:adjustRightInd w:val="0"/>
              <w:spacing w:after="120"/>
              <w:jc w:val="both"/>
              <w:rPr>
                <w:lang w:eastAsia="ro-RO"/>
              </w:rPr>
            </w:pPr>
            <w:r w:rsidRPr="00635FA5">
              <w:rPr>
                <w:lang w:eastAsia="ro-RO"/>
              </w:rPr>
              <w:t xml:space="preserve">Pentru a acoperi ajustarea prețurilor, din cadrul contractului de lucrări, este nevoie de 14,7% din valoarea contractului de lucrări, </w:t>
            </w:r>
            <w:r w:rsidR="00333928" w:rsidRPr="00635FA5">
              <w:rPr>
                <w:lang w:eastAsia="ro-RO"/>
              </w:rPr>
              <w:t>având în vedere faptul</w:t>
            </w:r>
            <w:r w:rsidRPr="00635FA5">
              <w:rPr>
                <w:lang w:eastAsia="ro-RO"/>
              </w:rPr>
              <w:t xml:space="preserve"> că implementarea </w:t>
            </w:r>
            <w:r w:rsidR="00333928" w:rsidRPr="00635FA5">
              <w:rPr>
                <w:lang w:eastAsia="ro-RO"/>
              </w:rPr>
              <w:t>se va realiza conform graficului</w:t>
            </w:r>
            <w:r w:rsidRPr="00635FA5">
              <w:rPr>
                <w:lang w:eastAsia="ro-RO"/>
              </w:rPr>
              <w:t xml:space="preserve"> 20% în 2022, 40% în 2023 și 40% în 2024.</w:t>
            </w:r>
          </w:p>
          <w:p w14:paraId="75635602" w14:textId="04BB4DDE" w:rsidR="000D6861" w:rsidRPr="00635FA5" w:rsidRDefault="00333928" w:rsidP="00414091">
            <w:pPr>
              <w:autoSpaceDE w:val="0"/>
              <w:autoSpaceDN w:val="0"/>
              <w:adjustRightInd w:val="0"/>
              <w:spacing w:after="120"/>
              <w:jc w:val="both"/>
              <w:rPr>
                <w:lang w:eastAsia="ro-RO"/>
              </w:rPr>
            </w:pPr>
            <w:r w:rsidRPr="00635FA5">
              <w:rPr>
                <w:lang w:eastAsia="ro-RO"/>
              </w:rPr>
              <w:t xml:space="preserve">Într-o primă etapă, </w:t>
            </w:r>
            <w:r w:rsidR="00414091" w:rsidRPr="00635FA5">
              <w:rPr>
                <w:lang w:eastAsia="ro-RO"/>
              </w:rPr>
              <w:t>Ministerul Investițiilor și Proiectelor Europene, în dialog cu Comisia Europeană, a încercat să rezolve această problemă de deficit de finanțare prin promovarea Hotărârii Guvernului nr. 379/2020</w:t>
            </w:r>
            <w:r w:rsidR="00733688" w:rsidRPr="00635FA5">
              <w:rPr>
                <w:lang w:eastAsia="ro-RO"/>
              </w:rPr>
              <w:t xml:space="preserve"> pentru aprobarea Metodologiei de ajustare a prețurilor în cadrul devizelor generale aferente proiectelor de infrastructură publică finanțate prin Programul operațional Infrastructură mare 2014-2020ț. S-a a</w:t>
            </w:r>
            <w:r w:rsidR="00414091" w:rsidRPr="00635FA5">
              <w:rPr>
                <w:lang w:eastAsia="ro-RO"/>
              </w:rPr>
              <w:t>sigur</w:t>
            </w:r>
            <w:r w:rsidR="00733688" w:rsidRPr="00635FA5">
              <w:rPr>
                <w:lang w:eastAsia="ro-RO"/>
              </w:rPr>
              <w:t>at</w:t>
            </w:r>
            <w:r w:rsidR="00414091" w:rsidRPr="00635FA5">
              <w:rPr>
                <w:lang w:eastAsia="ro-RO"/>
              </w:rPr>
              <w:t xml:space="preserve"> un cadru normativ care </w:t>
            </w:r>
            <w:r w:rsidR="00733688" w:rsidRPr="00635FA5">
              <w:rPr>
                <w:lang w:eastAsia="ro-RO"/>
              </w:rPr>
              <w:t xml:space="preserve">a </w:t>
            </w:r>
            <w:r w:rsidR="00414091" w:rsidRPr="00635FA5">
              <w:rPr>
                <w:lang w:eastAsia="ro-RO"/>
              </w:rPr>
              <w:t>permi</w:t>
            </w:r>
            <w:r w:rsidR="00733688" w:rsidRPr="00635FA5">
              <w:rPr>
                <w:lang w:eastAsia="ro-RO"/>
              </w:rPr>
              <w:t>s</w:t>
            </w:r>
            <w:r w:rsidR="00414091" w:rsidRPr="00635FA5">
              <w:rPr>
                <w:lang w:eastAsia="ro-RO"/>
              </w:rPr>
              <w:t xml:space="preserve"> actualizarea valorii proiectelor conform costurilor reale, în vederea transmiterii acestora către Comisia Europeană pentru a fi reaprobate cu noile valori, cadru care are aplicabilitate în termen de doi ani de zile de la intrarea în vigoare a hotărârii, termen ce expiră în data de 13 mai 2022. </w:t>
            </w:r>
          </w:p>
          <w:p w14:paraId="7605A5FB" w14:textId="0EA097EB" w:rsidR="00414091" w:rsidRPr="00635FA5" w:rsidRDefault="000D6861" w:rsidP="00414091">
            <w:pPr>
              <w:autoSpaceDE w:val="0"/>
              <w:autoSpaceDN w:val="0"/>
              <w:adjustRightInd w:val="0"/>
              <w:spacing w:after="120"/>
              <w:jc w:val="both"/>
              <w:rPr>
                <w:lang w:eastAsia="ro-RO"/>
              </w:rPr>
            </w:pPr>
            <w:r w:rsidRPr="00635FA5">
              <w:rPr>
                <w:lang w:eastAsia="ro-RO"/>
              </w:rPr>
              <w:t>Efectele Hotărârii Guvernului nr. 379/2020 trebuie extinse</w:t>
            </w:r>
            <w:r w:rsidR="00733688" w:rsidRPr="00635FA5">
              <w:rPr>
                <w:lang w:eastAsia="ro-RO"/>
              </w:rPr>
              <w:t xml:space="preserve"> la toate categoriile de proiecte care întâmpină aceste dificultăți</w:t>
            </w:r>
            <w:r w:rsidRPr="00635FA5">
              <w:rPr>
                <w:lang w:eastAsia="ro-RO"/>
              </w:rPr>
              <w:t>.</w:t>
            </w:r>
          </w:p>
          <w:p w14:paraId="515F8628" w14:textId="618FDEBD" w:rsidR="00E84B9D" w:rsidRPr="00E84B9D" w:rsidRDefault="00333928" w:rsidP="00E84B9D">
            <w:pPr>
              <w:autoSpaceDE w:val="0"/>
              <w:autoSpaceDN w:val="0"/>
              <w:adjustRightInd w:val="0"/>
              <w:spacing w:after="120"/>
              <w:jc w:val="both"/>
              <w:rPr>
                <w:lang w:val="en-US" w:eastAsia="ro-RO"/>
              </w:rPr>
            </w:pPr>
            <w:r w:rsidRPr="00635FA5">
              <w:rPr>
                <w:lang w:eastAsia="ro-RO"/>
              </w:rPr>
              <w:lastRenderedPageBreak/>
              <w:t>Este necesară actualizarea costurilor investițiilor pentru proiectele de infrastructură publică cu indicii de cost în construcții total, utilizând ca an de referință anul 2022.</w:t>
            </w:r>
            <w:r w:rsidR="00983FBD">
              <w:rPr>
                <w:lang w:eastAsia="ro-RO"/>
              </w:rPr>
              <w:t xml:space="preserve"> Astfel</w:t>
            </w:r>
            <w:r w:rsidR="009377B6">
              <w:rPr>
                <w:lang w:eastAsia="ro-RO"/>
              </w:rPr>
              <w:t>,</w:t>
            </w:r>
            <w:r w:rsidR="00983FBD">
              <w:rPr>
                <w:lang w:eastAsia="ro-RO"/>
              </w:rPr>
              <w:t xml:space="preserve"> în figura de mai jos se poate observa evolu</w:t>
            </w:r>
            <w:r w:rsidR="00E84B9D">
              <w:rPr>
                <w:lang w:eastAsia="ro-RO"/>
              </w:rPr>
              <w:t>ția acestor</w:t>
            </w:r>
            <w:r w:rsidR="00983FBD">
              <w:rPr>
                <w:lang w:eastAsia="ro-RO"/>
              </w:rPr>
              <w:t xml:space="preserve"> indic</w:t>
            </w:r>
            <w:r w:rsidR="00E84B9D">
              <w:rPr>
                <w:lang w:eastAsia="ro-RO"/>
              </w:rPr>
              <w:t>i</w:t>
            </w:r>
            <w:r w:rsidR="00983FBD" w:rsidRPr="00E84B9D">
              <w:rPr>
                <w:lang w:eastAsia="ro-RO"/>
              </w:rPr>
              <w:t>:</w:t>
            </w:r>
            <w:r w:rsidR="00E84B9D" w:rsidRPr="00E84B9D">
              <w:rPr>
                <w:rFonts w:asciiTheme="minorHAnsi" w:eastAsiaTheme="minorEastAsia" w:cstheme="minorBidi"/>
                <w:bCs/>
                <w:color w:val="595959"/>
                <w:kern w:val="24"/>
                <w:sz w:val="32"/>
                <w:szCs w:val="32"/>
                <w14:textFill>
                  <w14:solidFill>
                    <w14:srgbClr w14:val="595959">
                      <w14:lumMod w14:val="65000"/>
                      <w14:lumOff w14:val="35000"/>
                    </w14:srgbClr>
                  </w14:solidFill>
                </w14:textFill>
              </w:rPr>
              <w:t xml:space="preserve"> </w:t>
            </w:r>
            <w:r w:rsidR="00E84B9D" w:rsidRPr="00E84B9D">
              <w:rPr>
                <w:bCs/>
                <w:lang w:val="en-US" w:eastAsia="ro-RO"/>
              </w:rPr>
              <w:t>indice de cost în construcții total, prognozat de Comisia Națională de Strategie și Prognoză și indicele realizat conform publicațiilor Institutului Național de Statistică, respective a diferenței între indicele realizat și cel prognozat.</w:t>
            </w:r>
          </w:p>
          <w:p w14:paraId="24317A04" w14:textId="7922A895" w:rsidR="00333928" w:rsidRDefault="00333928" w:rsidP="00414091">
            <w:pPr>
              <w:autoSpaceDE w:val="0"/>
              <w:autoSpaceDN w:val="0"/>
              <w:adjustRightInd w:val="0"/>
              <w:spacing w:after="120"/>
              <w:jc w:val="both"/>
              <w:rPr>
                <w:lang w:eastAsia="ro-RO"/>
              </w:rPr>
            </w:pPr>
          </w:p>
          <w:p w14:paraId="29220235" w14:textId="2B10A6D3" w:rsidR="00983FBD" w:rsidRDefault="00983FBD" w:rsidP="00414091">
            <w:pPr>
              <w:autoSpaceDE w:val="0"/>
              <w:autoSpaceDN w:val="0"/>
              <w:adjustRightInd w:val="0"/>
              <w:spacing w:after="120"/>
              <w:jc w:val="both"/>
              <w:rPr>
                <w:lang w:eastAsia="ro-RO"/>
              </w:rPr>
            </w:pPr>
            <w:r w:rsidRPr="00DD5E00">
              <w:rPr>
                <w:noProof/>
                <w:lang w:val="en-US"/>
              </w:rPr>
              <w:drawing>
                <wp:inline distT="0" distB="0" distL="0" distR="0" wp14:anchorId="38DCC13F" wp14:editId="32C73A00">
                  <wp:extent cx="4607169" cy="2776171"/>
                  <wp:effectExtent l="0" t="0" r="3175"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0AC52D9" w14:textId="77777777" w:rsidR="00F50033" w:rsidRDefault="00F50033" w:rsidP="00414091">
            <w:pPr>
              <w:autoSpaceDE w:val="0"/>
              <w:autoSpaceDN w:val="0"/>
              <w:adjustRightInd w:val="0"/>
              <w:spacing w:after="120"/>
              <w:jc w:val="both"/>
              <w:rPr>
                <w:lang w:eastAsia="ro-RO"/>
              </w:rPr>
            </w:pPr>
          </w:p>
          <w:p w14:paraId="7DF32991" w14:textId="77777777" w:rsidR="00F50033" w:rsidRDefault="00F50033" w:rsidP="00414091">
            <w:pPr>
              <w:autoSpaceDE w:val="0"/>
              <w:autoSpaceDN w:val="0"/>
              <w:adjustRightInd w:val="0"/>
              <w:spacing w:after="120"/>
              <w:jc w:val="both"/>
              <w:rPr>
                <w:lang w:eastAsia="ro-RO"/>
              </w:rPr>
            </w:pPr>
          </w:p>
          <w:p w14:paraId="748E9E9A" w14:textId="55B61B18" w:rsidR="00F50033" w:rsidRDefault="00F50033" w:rsidP="00414091">
            <w:pPr>
              <w:autoSpaceDE w:val="0"/>
              <w:autoSpaceDN w:val="0"/>
              <w:adjustRightInd w:val="0"/>
              <w:spacing w:after="120"/>
              <w:jc w:val="both"/>
              <w:rPr>
                <w:lang w:eastAsia="ro-RO"/>
              </w:rPr>
            </w:pPr>
            <w:r>
              <w:rPr>
                <w:noProof/>
                <w:lang w:val="en-US"/>
              </w:rPr>
              <w:drawing>
                <wp:inline distT="0" distB="0" distL="0" distR="0" wp14:anchorId="463A46CD" wp14:editId="44BB1391">
                  <wp:extent cx="5105401" cy="2519729"/>
                  <wp:effectExtent l="0" t="0" r="25400" b="203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397F5D7" w14:textId="77777777" w:rsidR="00F50033" w:rsidRDefault="00F50033" w:rsidP="00414091">
            <w:pPr>
              <w:autoSpaceDE w:val="0"/>
              <w:autoSpaceDN w:val="0"/>
              <w:adjustRightInd w:val="0"/>
              <w:spacing w:after="120"/>
              <w:jc w:val="both"/>
              <w:rPr>
                <w:lang w:eastAsia="ro-RO"/>
              </w:rPr>
            </w:pPr>
          </w:p>
          <w:p w14:paraId="07BF2A07" w14:textId="77777777" w:rsidR="00F50033" w:rsidRDefault="00F50033" w:rsidP="00414091">
            <w:pPr>
              <w:autoSpaceDE w:val="0"/>
              <w:autoSpaceDN w:val="0"/>
              <w:adjustRightInd w:val="0"/>
              <w:spacing w:after="120"/>
              <w:jc w:val="both"/>
              <w:rPr>
                <w:lang w:eastAsia="ro-RO"/>
              </w:rPr>
            </w:pPr>
          </w:p>
          <w:p w14:paraId="4BBBF7C1" w14:textId="76024757" w:rsidR="00F50033" w:rsidRDefault="00F50033" w:rsidP="00414091">
            <w:pPr>
              <w:autoSpaceDE w:val="0"/>
              <w:autoSpaceDN w:val="0"/>
              <w:adjustRightInd w:val="0"/>
              <w:spacing w:after="120"/>
              <w:jc w:val="both"/>
              <w:rPr>
                <w:lang w:eastAsia="ro-RO"/>
              </w:rPr>
            </w:pPr>
            <w:r>
              <w:rPr>
                <w:noProof/>
                <w:lang w:val="en-US"/>
              </w:rPr>
              <w:lastRenderedPageBreak/>
              <w:drawing>
                <wp:inline distT="0" distB="0" distL="0" distR="0" wp14:anchorId="5077BBDB" wp14:editId="1C6EA617">
                  <wp:extent cx="5087817" cy="2491154"/>
                  <wp:effectExtent l="0" t="0" r="17780" b="2349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98078EF" w14:textId="77777777" w:rsidR="00F50033" w:rsidRPr="00635FA5" w:rsidRDefault="00F50033" w:rsidP="00414091">
            <w:pPr>
              <w:autoSpaceDE w:val="0"/>
              <w:autoSpaceDN w:val="0"/>
              <w:adjustRightInd w:val="0"/>
              <w:spacing w:after="120"/>
              <w:jc w:val="both"/>
              <w:rPr>
                <w:lang w:eastAsia="ro-RO"/>
              </w:rPr>
            </w:pPr>
          </w:p>
          <w:p w14:paraId="51BD7E0D" w14:textId="6B3D149F" w:rsidR="00414091" w:rsidRPr="00DD5E00" w:rsidRDefault="00414091" w:rsidP="00414091">
            <w:pPr>
              <w:autoSpaceDE w:val="0"/>
              <w:autoSpaceDN w:val="0"/>
              <w:adjustRightInd w:val="0"/>
              <w:spacing w:after="120"/>
              <w:jc w:val="both"/>
              <w:rPr>
                <w:lang w:eastAsia="ro-RO"/>
              </w:rPr>
            </w:pPr>
            <w:r w:rsidRPr="00635FA5">
              <w:rPr>
                <w:lang w:eastAsia="ro-RO"/>
              </w:rPr>
              <w:t xml:space="preserve">Luând în considerare efectele situației generate de creșterea prețurilor în domeniul construcțiilor și ținând cont de cele precizate mai sus, apare riscul ca toate proiectele de acest fel să nu poată fi implementate </w:t>
            </w:r>
            <w:r w:rsidR="00733688" w:rsidRPr="00635FA5">
              <w:rPr>
                <w:lang w:eastAsia="ro-RO"/>
              </w:rPr>
              <w:t>alungându-se</w:t>
            </w:r>
            <w:r w:rsidRPr="00635FA5">
              <w:rPr>
                <w:lang w:eastAsia="ro-RO"/>
              </w:rPr>
              <w:t xml:space="preserve"> pe de o parte la renunțarea la executarea sau neîncheierea contractelor de achiziție</w:t>
            </w:r>
            <w:r w:rsidR="001C1FCF">
              <w:rPr>
                <w:lang w:eastAsia="ro-RO"/>
              </w:rPr>
              <w:t>,</w:t>
            </w:r>
            <w:r w:rsidRPr="00635FA5">
              <w:rPr>
                <w:lang w:eastAsia="ro-RO"/>
              </w:rPr>
              <w:t xml:space="preserve"> iar pe de altă parte la întârzierea finalizării acestora, aspect ce determină apariția riscului de neîndeplinire a țintelor anuale de absorbție și dezangajare a fondurilor europene. </w:t>
            </w:r>
          </w:p>
          <w:p w14:paraId="6D9999E7" w14:textId="77777777" w:rsidR="00414091" w:rsidRPr="00635FA5" w:rsidRDefault="00414091" w:rsidP="00414091">
            <w:pPr>
              <w:autoSpaceDE w:val="0"/>
              <w:autoSpaceDN w:val="0"/>
              <w:adjustRightInd w:val="0"/>
              <w:spacing w:after="120"/>
              <w:jc w:val="both"/>
              <w:rPr>
                <w:lang w:eastAsia="ro-RO"/>
              </w:rPr>
            </w:pPr>
            <w:r w:rsidRPr="00635FA5">
              <w:rPr>
                <w:lang w:eastAsia="ro-RO"/>
              </w:rPr>
              <w:t>Rezilierea contractelor de finanțare din cauza imposibilității beneficiarilor de a asigura aceste sume suplimentare, dincolo de oprirea proiectelor de modernizare și dezvoltare a infrastructurii,  ar avea un efect negativ pe de o parte asupra bugetelor locale pentru că beneficiarii vor fi obligați să returneze cheltuielile decontate prin proiecte până la momentul rezilierii, iar pe de altă parte asupra cheltuielilor declarate deja la Comisia Europeană, statul membru fiind în situația de a returna aceste cheltuieli.</w:t>
            </w:r>
          </w:p>
          <w:p w14:paraId="17474483" w14:textId="38B22350" w:rsidR="00414091" w:rsidRPr="00635FA5" w:rsidRDefault="00414091" w:rsidP="00414091">
            <w:pPr>
              <w:autoSpaceDE w:val="0"/>
              <w:autoSpaceDN w:val="0"/>
              <w:adjustRightInd w:val="0"/>
              <w:spacing w:after="120"/>
              <w:jc w:val="both"/>
              <w:rPr>
                <w:lang w:eastAsia="ro-RO"/>
              </w:rPr>
            </w:pPr>
            <w:r w:rsidRPr="00635FA5">
              <w:rPr>
                <w:lang w:eastAsia="ro-RO"/>
              </w:rPr>
              <w:t>Mai mult, încetinirea ritmului de implementare a proiectelor cu finanțare europeană va determina depășirea perioadei maxime de implementare stabilită prin regulamentele europene, respectiv 31 decembrie 2023. Precizăm că ulterior acestei date, cheltuielile necesare pentru finalizarea proiectelor trebuie să fie asigurate din bugetul beneficiarilor, nemaiputând fi solicitate la rambursare Comisiei Europene.</w:t>
            </w:r>
          </w:p>
          <w:p w14:paraId="777690A7" w14:textId="77777777" w:rsidR="00223491" w:rsidRPr="00DD5E00" w:rsidRDefault="00223491" w:rsidP="008838DB">
            <w:pPr>
              <w:autoSpaceDE w:val="0"/>
              <w:autoSpaceDN w:val="0"/>
              <w:adjustRightInd w:val="0"/>
              <w:spacing w:after="120"/>
              <w:jc w:val="both"/>
              <w:rPr>
                <w:lang w:eastAsia="ro-RO"/>
              </w:rPr>
            </w:pPr>
            <w:r w:rsidRPr="00DD5E00">
              <w:rPr>
                <w:lang w:eastAsia="ro-RO"/>
              </w:rPr>
              <w:t>2.2 Descrierea situației actuale</w:t>
            </w:r>
          </w:p>
          <w:p w14:paraId="7D29A467" w14:textId="0E467886" w:rsidR="00745BB3" w:rsidRPr="00635FA5" w:rsidRDefault="00745BB3" w:rsidP="00745BB3">
            <w:pPr>
              <w:autoSpaceDE w:val="0"/>
              <w:autoSpaceDN w:val="0"/>
              <w:adjustRightInd w:val="0"/>
              <w:spacing w:after="120"/>
              <w:jc w:val="both"/>
              <w:rPr>
                <w:lang w:eastAsia="ro-RO"/>
              </w:rPr>
            </w:pPr>
            <w:r w:rsidRPr="00635FA5">
              <w:rPr>
                <w:lang w:eastAsia="ro-RO"/>
              </w:rPr>
              <w:t xml:space="preserve">Prezenta ordonanță circumstanțiază modul de aplicare al prevederilor art. 221 </w:t>
            </w:r>
            <w:r w:rsidR="005B6E0F" w:rsidRPr="00635FA5">
              <w:rPr>
                <w:lang w:eastAsia="ro-RO"/>
              </w:rPr>
              <w:t>alin</w:t>
            </w:r>
            <w:r w:rsidR="00EC4A3F" w:rsidRPr="00635FA5">
              <w:rPr>
                <w:lang w:eastAsia="ro-RO"/>
              </w:rPr>
              <w:t xml:space="preserve">. (1) lit. c) </w:t>
            </w:r>
            <w:r w:rsidRPr="00635FA5">
              <w:rPr>
                <w:lang w:eastAsia="ro-RO"/>
              </w:rPr>
              <w:t>din Legea nr. 98/2016 privind achizițiile publice, cu modificările și completările ulterioare, respectiv art. 238 din Legea nr. 99/2016 privind achizițiile sectoriale, cu modificările și completările ulterioare</w:t>
            </w:r>
            <w:r w:rsidR="008D7AA7" w:rsidRPr="00635FA5">
              <w:rPr>
                <w:lang w:eastAsia="ro-RO"/>
              </w:rPr>
              <w:t>,</w:t>
            </w:r>
            <w:r w:rsidR="00080916" w:rsidRPr="00635FA5">
              <w:rPr>
                <w:lang w:eastAsia="ro-RO"/>
              </w:rPr>
              <w:t xml:space="preserve"> în cazul beneficiarilor publice de fonduri europene nerambursabile</w:t>
            </w:r>
            <w:r w:rsidR="008D7AA7" w:rsidRPr="00635FA5">
              <w:rPr>
                <w:lang w:eastAsia="ro-RO"/>
              </w:rPr>
              <w:t xml:space="preserve"> care au încheiat contracte de achiziție publică/ contractelor sectoriale /acordurilor-cadru fără formulă de ajustare a prețurilor sau care cuprind o clauză de ajustare sau îndeplinirea unor condiții cumulative ce se aplică după trecerea unei perioade de timp</w:t>
            </w:r>
            <w:r w:rsidRPr="00635FA5">
              <w:rPr>
                <w:lang w:eastAsia="ro-RO"/>
              </w:rPr>
              <w:t>.</w:t>
            </w:r>
          </w:p>
          <w:p w14:paraId="41189BCE" w14:textId="75774FBD" w:rsidR="00080916" w:rsidRPr="00635FA5" w:rsidRDefault="00080916" w:rsidP="00745BB3">
            <w:pPr>
              <w:autoSpaceDE w:val="0"/>
              <w:autoSpaceDN w:val="0"/>
              <w:adjustRightInd w:val="0"/>
              <w:spacing w:after="120"/>
              <w:jc w:val="both"/>
              <w:rPr>
                <w:lang w:eastAsia="ro-RO"/>
              </w:rPr>
            </w:pPr>
            <w:r w:rsidRPr="00635FA5">
              <w:rPr>
                <w:lang w:eastAsia="ro-RO"/>
              </w:rPr>
              <w:t xml:space="preserve">De asemenea, prezenta ordonanță </w:t>
            </w:r>
            <w:r w:rsidR="008D7AA7" w:rsidRPr="00635FA5">
              <w:rPr>
                <w:lang w:eastAsia="ro-RO"/>
              </w:rPr>
              <w:t>reglementează,</w:t>
            </w:r>
            <w:r w:rsidRPr="00635FA5">
              <w:rPr>
                <w:lang w:eastAsia="ro-RO"/>
              </w:rPr>
              <w:t xml:space="preserve"> pentru a respecta principiul nediscriminării</w:t>
            </w:r>
            <w:r w:rsidR="008D7AA7" w:rsidRPr="00635FA5">
              <w:rPr>
                <w:lang w:eastAsia="ro-RO"/>
              </w:rPr>
              <w:t>,</w:t>
            </w:r>
            <w:r w:rsidRPr="00635FA5">
              <w:rPr>
                <w:lang w:eastAsia="ro-RO"/>
              </w:rPr>
              <w:t xml:space="preserve"> și </w:t>
            </w:r>
            <w:r w:rsidR="008D7AA7" w:rsidRPr="00635FA5">
              <w:rPr>
                <w:lang w:eastAsia="ro-RO"/>
              </w:rPr>
              <w:t xml:space="preserve">situația similară a </w:t>
            </w:r>
            <w:r w:rsidRPr="00635FA5">
              <w:rPr>
                <w:lang w:eastAsia="ro-RO"/>
              </w:rPr>
              <w:t>beneficiarilor privați care au atribuit contracte de lucrări</w:t>
            </w:r>
            <w:r w:rsidR="00D07BCA" w:rsidRPr="00635FA5">
              <w:rPr>
                <w:lang w:eastAsia="ro-RO"/>
              </w:rPr>
              <w:t xml:space="preserve">, </w:t>
            </w:r>
            <w:r w:rsidRPr="00635FA5">
              <w:rPr>
                <w:lang w:eastAsia="ro-RO"/>
              </w:rPr>
              <w:t>produse</w:t>
            </w:r>
            <w:r w:rsidR="00D07BCA" w:rsidRPr="00635FA5">
              <w:rPr>
                <w:lang w:eastAsia="ro-RO"/>
              </w:rPr>
              <w:t xml:space="preserve"> sau servicii</w:t>
            </w:r>
            <w:r w:rsidR="006C162F" w:rsidRPr="00635FA5">
              <w:rPr>
                <w:lang w:eastAsia="ro-RO"/>
              </w:rPr>
              <w:t>,</w:t>
            </w:r>
            <w:r w:rsidRPr="00635FA5">
              <w:rPr>
                <w:lang w:eastAsia="ro-RO"/>
              </w:rPr>
              <w:t xml:space="preserve"> conform Ordinului nr. 1284/2016 privind aprobarea procedurii competitive aplicabile solicitanților/beneficiarilor privați pentru atribuirea contractelor de furnizare, servicii sau lucrări finanțate din fonduri europene.</w:t>
            </w:r>
          </w:p>
          <w:p w14:paraId="0513FC28" w14:textId="413AEB73" w:rsidR="00FB45DC" w:rsidRPr="00BC06F9" w:rsidRDefault="00E632E1" w:rsidP="008838DB">
            <w:pPr>
              <w:autoSpaceDE w:val="0"/>
              <w:autoSpaceDN w:val="0"/>
              <w:adjustRightInd w:val="0"/>
              <w:spacing w:after="120"/>
              <w:jc w:val="both"/>
              <w:rPr>
                <w:lang w:eastAsia="ro-RO"/>
              </w:rPr>
            </w:pPr>
            <w:r w:rsidRPr="00635FA5">
              <w:rPr>
                <w:lang w:eastAsia="ro-RO"/>
              </w:rPr>
              <w:t>În lipsa unor măsuri imediate se poate ajunge la blocarea contractelor de achiziției într-un stadiu intermediar care nu permite atingerea obiectivelor din proiect, la falimentul/insolvența operatorilor economici și la pierderea fondurilor europene nerambursabile angajate prin contractul de finanțare.</w:t>
            </w:r>
          </w:p>
          <w:p w14:paraId="631A2113" w14:textId="7552DD27" w:rsidR="00745BB3" w:rsidRPr="00635FA5" w:rsidRDefault="00745BB3" w:rsidP="00745BB3">
            <w:pPr>
              <w:jc w:val="both"/>
              <w:rPr>
                <w:lang w:eastAsia="ro-RO"/>
              </w:rPr>
            </w:pPr>
            <w:r w:rsidRPr="00DD5E00">
              <w:rPr>
                <w:lang w:eastAsia="ro-RO"/>
              </w:rPr>
              <w:t xml:space="preserve">Echilibrul drepturilor și obligațiilor prevăzut în contractele de lucrări și/sau a celor de produse aflate în strânsă legătură cu execuția lucrărilor, </w:t>
            </w:r>
            <w:r w:rsidR="00D07BCA" w:rsidRPr="00DD5E00">
              <w:rPr>
                <w:lang w:eastAsia="ro-RO"/>
              </w:rPr>
              <w:t>acte juridice bilaterale</w:t>
            </w:r>
            <w:r w:rsidRPr="00DD5E00">
              <w:rPr>
                <w:lang w:eastAsia="ro-RO"/>
              </w:rPr>
              <w:t xml:space="preserve"> complexe încheiate</w:t>
            </w:r>
            <w:r w:rsidR="00BD4BB8" w:rsidRPr="00DD5E00">
              <w:rPr>
                <w:lang w:eastAsia="ro-RO"/>
              </w:rPr>
              <w:t>,</w:t>
            </w:r>
            <w:r w:rsidRPr="00DD5E00">
              <w:rPr>
                <w:lang w:eastAsia="ro-RO"/>
              </w:rPr>
              <w:t xml:space="preserve"> de regulă</w:t>
            </w:r>
            <w:r w:rsidR="00BD4BB8" w:rsidRPr="00DD5E00">
              <w:rPr>
                <w:lang w:eastAsia="ro-RO"/>
              </w:rPr>
              <w:t>,</w:t>
            </w:r>
            <w:r w:rsidRPr="00DD5E00">
              <w:rPr>
                <w:lang w:eastAsia="ro-RO"/>
              </w:rPr>
              <w:t xml:space="preserve"> pe o perioadă </w:t>
            </w:r>
            <w:r w:rsidRPr="00DD5E00">
              <w:rPr>
                <w:lang w:eastAsia="ro-RO"/>
              </w:rPr>
              <w:lastRenderedPageBreak/>
              <w:t xml:space="preserve">lungă de timp, continuă să fie puternic afectat prin trecerea de la restricțiile adoptate pe fond sanitar, generate de pandemia COVID 19, la situație de criză generată de războiul din Ucraina și </w:t>
            </w:r>
            <w:r w:rsidRPr="00635FA5">
              <w:rPr>
                <w:lang w:eastAsia="ro-RO"/>
              </w:rPr>
              <w:t>prin actele de putere publică ale Uniunii Europene care au impus sancțiuni Federației Ruse și Republicii Belarus</w:t>
            </w:r>
            <w:r w:rsidR="00080916" w:rsidRPr="00635FA5">
              <w:rPr>
                <w:lang w:eastAsia="ro-RO"/>
              </w:rPr>
              <w:t xml:space="preserve"> și de creșterea prețurilor la energie</w:t>
            </w:r>
            <w:r w:rsidRPr="00635FA5">
              <w:rPr>
                <w:lang w:eastAsia="ro-RO"/>
              </w:rPr>
              <w:t>.</w:t>
            </w:r>
          </w:p>
          <w:p w14:paraId="7C73CC49" w14:textId="77777777" w:rsidR="00745BB3" w:rsidRPr="00635FA5" w:rsidRDefault="00745BB3" w:rsidP="00745BB3">
            <w:pPr>
              <w:jc w:val="both"/>
              <w:rPr>
                <w:lang w:eastAsia="ro-RO"/>
              </w:rPr>
            </w:pPr>
          </w:p>
          <w:p w14:paraId="01710C6D" w14:textId="2302F19F" w:rsidR="00745BB3" w:rsidRPr="00DD5E00" w:rsidRDefault="00080916" w:rsidP="00745BB3">
            <w:pPr>
              <w:jc w:val="both"/>
              <w:rPr>
                <w:lang w:eastAsia="ro-RO"/>
              </w:rPr>
            </w:pPr>
            <w:r w:rsidRPr="00635FA5">
              <w:rPr>
                <w:lang w:eastAsia="ro-RO"/>
              </w:rPr>
              <w:t>Ca u</w:t>
            </w:r>
            <w:r w:rsidR="00745BB3" w:rsidRPr="00635FA5">
              <w:rPr>
                <w:lang w:eastAsia="ro-RO"/>
              </w:rPr>
              <w:t xml:space="preserve">rmare a situațiilor descrise, circuitul economic a fost puternic perturbat, iar creșterile de prețuri din industria construcțiilor au vizat mai multe componente ale devizului de lucrări. </w:t>
            </w:r>
            <w:r w:rsidR="00745BB3" w:rsidRPr="00DD5E00">
              <w:rPr>
                <w:lang w:eastAsia="ro-RO"/>
              </w:rPr>
              <w:t>În acest context, este nevoie de restabilirea echilibrului contractual în raport cu realitatea economică actuală, ce nu putea fi prevăzută la momentul semnării contractelor de lucrări și/sau a celor de produse aflate în strânsă legătură cu execuția lucrărilor.</w:t>
            </w:r>
          </w:p>
          <w:p w14:paraId="68F66778" w14:textId="7DCB5476" w:rsidR="00745BB3" w:rsidRPr="00DD5E00" w:rsidRDefault="00745BB3" w:rsidP="00745BB3">
            <w:pPr>
              <w:jc w:val="both"/>
              <w:rPr>
                <w:lang w:eastAsia="ro-RO"/>
              </w:rPr>
            </w:pPr>
          </w:p>
          <w:p w14:paraId="7C742BCC" w14:textId="55DA55E6" w:rsidR="00E632E1" w:rsidRPr="00DD5E00" w:rsidRDefault="00E632E1" w:rsidP="00745BB3">
            <w:pPr>
              <w:jc w:val="both"/>
              <w:rPr>
                <w:lang w:eastAsia="ro-RO"/>
              </w:rPr>
            </w:pPr>
            <w:r w:rsidRPr="00DD5E00">
              <w:rPr>
                <w:lang w:eastAsia="ro-RO"/>
              </w:rPr>
              <w:t xml:space="preserve">Contractele de achiziție de produse sau servicii care au legătură cu execuția de lucrări sau contractele de achiziție de produse afectate de întreruperea lanțului de distribuție a unor componente </w:t>
            </w:r>
            <w:r w:rsidR="00AF52C7" w:rsidRPr="00DD5E00">
              <w:rPr>
                <w:lang w:eastAsia="ro-RO"/>
              </w:rPr>
              <w:t>sunt în situații similare, fiind necesară chiar și revizuirea graficelor de livrare.</w:t>
            </w:r>
          </w:p>
          <w:p w14:paraId="341E341E" w14:textId="77777777" w:rsidR="00AF52C7" w:rsidRPr="00DD5E00" w:rsidRDefault="00AF52C7" w:rsidP="00745BB3">
            <w:pPr>
              <w:jc w:val="both"/>
              <w:rPr>
                <w:lang w:eastAsia="ro-RO"/>
              </w:rPr>
            </w:pPr>
          </w:p>
          <w:p w14:paraId="4FEC5770" w14:textId="35DB875A" w:rsidR="00745BB3" w:rsidRPr="00DD5E00" w:rsidRDefault="00745BB3" w:rsidP="00745BB3">
            <w:pPr>
              <w:jc w:val="both"/>
              <w:rPr>
                <w:lang w:eastAsia="ro-RO"/>
              </w:rPr>
            </w:pPr>
            <w:r w:rsidRPr="00DD5E00">
              <w:rPr>
                <w:lang w:eastAsia="ro-RO"/>
              </w:rPr>
              <w:t>Printre elementele de creștere a prețurilor</w:t>
            </w:r>
            <w:r w:rsidR="00BD4BB8" w:rsidRPr="00DD5E00">
              <w:rPr>
                <w:lang w:eastAsia="ro-RO"/>
              </w:rPr>
              <w:t>,</w:t>
            </w:r>
            <w:r w:rsidRPr="00DD5E00">
              <w:rPr>
                <w:lang w:eastAsia="ro-RO"/>
              </w:rPr>
              <w:t xml:space="preserve"> dincolo de limita superioară a suportării din contracte</w:t>
            </w:r>
            <w:r w:rsidR="00BD4BB8" w:rsidRPr="00DD5E00">
              <w:rPr>
                <w:lang w:eastAsia="ro-RO"/>
              </w:rPr>
              <w:t xml:space="preserve"> potrivit riscurilor previzionate</w:t>
            </w:r>
            <w:r w:rsidRPr="00DD5E00">
              <w:rPr>
                <w:lang w:eastAsia="ro-RO"/>
              </w:rPr>
              <w:t>, menționăm:</w:t>
            </w:r>
          </w:p>
          <w:p w14:paraId="0C5C059A" w14:textId="52C616A6" w:rsidR="00C74FB5" w:rsidRDefault="00745BB3" w:rsidP="00745BB3">
            <w:pPr>
              <w:numPr>
                <w:ilvl w:val="0"/>
                <w:numId w:val="14"/>
              </w:numPr>
              <w:jc w:val="both"/>
              <w:rPr>
                <w:lang w:eastAsia="ro-RO"/>
              </w:rPr>
            </w:pPr>
            <w:r w:rsidRPr="00635FA5">
              <w:rPr>
                <w:lang w:eastAsia="ro-RO"/>
              </w:rPr>
              <w:t>creșterea prețurilor la utilități</w:t>
            </w:r>
            <w:r w:rsidR="00C74FB5">
              <w:rPr>
                <w:lang w:eastAsia="ro-RO"/>
              </w:rPr>
              <w:t xml:space="preserve"> –energie, gaze</w:t>
            </w:r>
            <w:r w:rsidRPr="00635FA5">
              <w:rPr>
                <w:lang w:eastAsia="ro-RO"/>
              </w:rPr>
              <w:t>;</w:t>
            </w:r>
            <w:r w:rsidR="00C74FB5" w:rsidRPr="00DD5E00">
              <w:rPr>
                <w:lang w:eastAsia="ro-RO"/>
              </w:rPr>
              <w:t xml:space="preserve"> </w:t>
            </w:r>
          </w:p>
          <w:p w14:paraId="05398ADD" w14:textId="77777777" w:rsidR="00C74FB5" w:rsidRDefault="00C74FB5" w:rsidP="00C74FB5">
            <w:pPr>
              <w:numPr>
                <w:ilvl w:val="0"/>
                <w:numId w:val="14"/>
              </w:numPr>
              <w:jc w:val="both"/>
              <w:rPr>
                <w:lang w:eastAsia="ro-RO"/>
              </w:rPr>
            </w:pPr>
            <w:r w:rsidRPr="00DD5E00">
              <w:rPr>
                <w:lang w:eastAsia="ro-RO"/>
              </w:rPr>
              <w:t>creșterea prețului la carburanți</w:t>
            </w:r>
            <w:r>
              <w:rPr>
                <w:lang w:eastAsia="ro-RO"/>
              </w:rPr>
              <w:t xml:space="preserve"> - petrol</w:t>
            </w:r>
            <w:r w:rsidRPr="00DD5E00">
              <w:rPr>
                <w:lang w:eastAsia="ro-RO"/>
              </w:rPr>
              <w:t>;</w:t>
            </w:r>
            <w:r>
              <w:rPr>
                <w:lang w:eastAsia="ro-RO"/>
              </w:rPr>
              <w:t xml:space="preserve"> </w:t>
            </w:r>
          </w:p>
          <w:p w14:paraId="47C5133B" w14:textId="0C4C7E13" w:rsidR="00C74FB5" w:rsidRDefault="00C74FB5" w:rsidP="00C74FB5">
            <w:pPr>
              <w:numPr>
                <w:ilvl w:val="0"/>
                <w:numId w:val="14"/>
              </w:numPr>
              <w:jc w:val="both"/>
              <w:rPr>
                <w:lang w:eastAsia="ro-RO"/>
              </w:rPr>
            </w:pPr>
            <w:r>
              <w:rPr>
                <w:lang w:eastAsia="ro-RO"/>
              </w:rPr>
              <w:t>creșterea prețului la principalele materii prime – beton, otel, bitum, ciment</w:t>
            </w:r>
            <w:r w:rsidR="00E84B9D">
              <w:rPr>
                <w:lang w:eastAsia="ro-RO"/>
              </w:rPr>
              <w:t>;</w:t>
            </w:r>
            <w:r>
              <w:rPr>
                <w:lang w:eastAsia="ro-RO"/>
              </w:rPr>
              <w:t xml:space="preserve"> a se vedea evoluția în graficul de mai jos:</w:t>
            </w:r>
          </w:p>
          <w:p w14:paraId="13366509" w14:textId="77777777" w:rsidR="00C74FB5" w:rsidRPr="00635FA5" w:rsidRDefault="00C74FB5" w:rsidP="00C74FB5">
            <w:pPr>
              <w:ind w:left="720"/>
              <w:jc w:val="both"/>
              <w:rPr>
                <w:lang w:eastAsia="ro-RO"/>
              </w:rPr>
            </w:pPr>
          </w:p>
          <w:p w14:paraId="68BE9ECE" w14:textId="67BE51B0" w:rsidR="00C74FB5" w:rsidRDefault="00C74FB5" w:rsidP="00C74FB5">
            <w:pPr>
              <w:ind w:left="720"/>
              <w:jc w:val="both"/>
              <w:rPr>
                <w:lang w:eastAsia="ro-RO"/>
              </w:rPr>
            </w:pPr>
            <w:r>
              <w:rPr>
                <w:noProof/>
                <w:lang w:val="en-US"/>
              </w:rPr>
              <w:drawing>
                <wp:inline distT="0" distB="0" distL="0" distR="0" wp14:anchorId="29718EB2" wp14:editId="11A572EB">
                  <wp:extent cx="6245121" cy="2620957"/>
                  <wp:effectExtent l="0" t="0" r="29210" b="2095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DEDFAB" w14:textId="77777777" w:rsidR="00745BB3" w:rsidRPr="00635FA5" w:rsidRDefault="00745BB3" w:rsidP="00745BB3">
            <w:pPr>
              <w:numPr>
                <w:ilvl w:val="0"/>
                <w:numId w:val="14"/>
              </w:numPr>
              <w:jc w:val="both"/>
              <w:rPr>
                <w:lang w:eastAsia="ro-RO"/>
              </w:rPr>
            </w:pPr>
            <w:r w:rsidRPr="00635FA5">
              <w:rPr>
                <w:lang w:eastAsia="ro-RO"/>
              </w:rPr>
              <w:t>disponibilitatea redusă a unor materii prime;</w:t>
            </w:r>
          </w:p>
          <w:p w14:paraId="06FFC7A1" w14:textId="77777777" w:rsidR="00745BB3" w:rsidRPr="00635FA5" w:rsidRDefault="00745BB3" w:rsidP="00745BB3">
            <w:pPr>
              <w:numPr>
                <w:ilvl w:val="0"/>
                <w:numId w:val="14"/>
              </w:numPr>
              <w:jc w:val="both"/>
              <w:rPr>
                <w:lang w:eastAsia="ro-RO"/>
              </w:rPr>
            </w:pPr>
            <w:r w:rsidRPr="00635FA5">
              <w:rPr>
                <w:lang w:eastAsia="ro-RO"/>
              </w:rPr>
              <w:t>diminuarea stocurilor la furnizori din cauza absenței anumitor componente care intră în producția de materii prime;</w:t>
            </w:r>
          </w:p>
          <w:p w14:paraId="3AEAEF31" w14:textId="5411B7F2" w:rsidR="00745BB3" w:rsidRPr="00BC06F9" w:rsidRDefault="00BC06F9" w:rsidP="00745BB3">
            <w:pPr>
              <w:numPr>
                <w:ilvl w:val="0"/>
                <w:numId w:val="14"/>
              </w:numPr>
              <w:jc w:val="both"/>
              <w:rPr>
                <w:lang w:eastAsia="ro-RO"/>
              </w:rPr>
            </w:pPr>
            <w:r w:rsidRPr="00DD5E00">
              <w:rPr>
                <w:lang w:eastAsia="ro-RO"/>
              </w:rPr>
              <w:t>creșterea ratei inflație; a se vedea evoluția  în graficul de mai jos:</w:t>
            </w:r>
          </w:p>
          <w:p w14:paraId="46CAA591" w14:textId="4E59EF94" w:rsidR="00BC06F9" w:rsidRPr="00BC06F9" w:rsidRDefault="00BC06F9" w:rsidP="00BC06F9">
            <w:pPr>
              <w:ind w:left="720"/>
              <w:jc w:val="both"/>
              <w:rPr>
                <w:lang w:eastAsia="ro-RO"/>
              </w:rPr>
            </w:pPr>
            <w:r w:rsidRPr="00DD5E00">
              <w:rPr>
                <w:noProof/>
                <w:lang w:val="en-US"/>
              </w:rPr>
              <w:lastRenderedPageBreak/>
              <w:drawing>
                <wp:inline distT="0" distB="0" distL="0" distR="0" wp14:anchorId="6B48F02F" wp14:editId="32DCF1AC">
                  <wp:extent cx="4607168" cy="2778369"/>
                  <wp:effectExtent l="0" t="0" r="3175" b="31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F2427C" w14:textId="77777777" w:rsidR="00BC06F9" w:rsidRPr="00635FA5" w:rsidRDefault="00BC06F9" w:rsidP="00BC06F9">
            <w:pPr>
              <w:ind w:left="720"/>
              <w:jc w:val="both"/>
              <w:rPr>
                <w:lang w:eastAsia="ro-RO"/>
              </w:rPr>
            </w:pPr>
          </w:p>
          <w:p w14:paraId="61E6EE89" w14:textId="6C629FF6" w:rsidR="00745BB3" w:rsidRDefault="00E84B9D" w:rsidP="00745BB3">
            <w:pPr>
              <w:numPr>
                <w:ilvl w:val="0"/>
                <w:numId w:val="14"/>
              </w:numPr>
              <w:jc w:val="both"/>
              <w:rPr>
                <w:lang w:eastAsia="ro-RO"/>
              </w:rPr>
            </w:pPr>
            <w:r>
              <w:rPr>
                <w:lang w:eastAsia="ro-RO"/>
              </w:rPr>
              <w:t>creșterea prețurilor la materii prime/echipamente/dotări importate</w:t>
            </w:r>
            <w:r w:rsidR="00BC06F9">
              <w:rPr>
                <w:lang w:eastAsia="ro-RO"/>
              </w:rPr>
              <w:t>; a se vedea graficul de mai jos:</w:t>
            </w:r>
          </w:p>
          <w:p w14:paraId="0492B3B9" w14:textId="33F694AC" w:rsidR="00BC06F9" w:rsidRPr="00635FA5" w:rsidRDefault="00BC06F9" w:rsidP="00BC06F9">
            <w:pPr>
              <w:ind w:left="720"/>
              <w:jc w:val="both"/>
              <w:rPr>
                <w:lang w:eastAsia="ro-RO"/>
              </w:rPr>
            </w:pPr>
            <w:r w:rsidRPr="00DD5E00">
              <w:rPr>
                <w:noProof/>
                <w:lang w:val="en-US"/>
              </w:rPr>
              <w:drawing>
                <wp:inline distT="0" distB="0" distL="0" distR="0" wp14:anchorId="15B26035" wp14:editId="49072F61">
                  <wp:extent cx="5298830" cy="2776171"/>
                  <wp:effectExtent l="0" t="0" r="16510" b="57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D12FF06" w14:textId="77777777" w:rsidR="00BC06F9" w:rsidRPr="00DD5E00" w:rsidRDefault="00BC06F9" w:rsidP="00745BB3">
            <w:pPr>
              <w:jc w:val="both"/>
              <w:rPr>
                <w:lang w:eastAsia="ro-RO"/>
              </w:rPr>
            </w:pPr>
          </w:p>
          <w:p w14:paraId="59DC3FE5" w14:textId="3323BCE9" w:rsidR="00745BB3" w:rsidRPr="00DD5E00" w:rsidRDefault="00745BB3" w:rsidP="00745BB3">
            <w:pPr>
              <w:jc w:val="both"/>
              <w:rPr>
                <w:lang w:eastAsia="ro-RO"/>
              </w:rPr>
            </w:pPr>
            <w:r w:rsidRPr="00DD5E00">
              <w:rPr>
                <w:lang w:eastAsia="ro-RO"/>
              </w:rPr>
              <w:t xml:space="preserve">Pentru a răspunde nevoii de continuare a implementării contractelor </w:t>
            </w:r>
            <w:r w:rsidR="00080916" w:rsidRPr="00DD5E00">
              <w:rPr>
                <w:lang w:eastAsia="ro-RO"/>
              </w:rPr>
              <w:t xml:space="preserve">de achiziției </w:t>
            </w:r>
            <w:r w:rsidRPr="00DD5E00">
              <w:rPr>
                <w:lang w:eastAsia="ro-RO"/>
              </w:rPr>
              <w:t>și finalizarea acestora,</w:t>
            </w:r>
            <w:r w:rsidR="00071642" w:rsidRPr="00DD5E00">
              <w:rPr>
                <w:lang w:eastAsia="ro-RO"/>
              </w:rPr>
              <w:t xml:space="preserve"> pentru atingerea obiectivelor stabilite prin proiectele de finanțare și </w:t>
            </w:r>
            <w:r w:rsidR="008A4D7C" w:rsidRPr="00DD5E00">
              <w:rPr>
                <w:lang w:eastAsia="ro-RO"/>
              </w:rPr>
              <w:t>respectarea</w:t>
            </w:r>
            <w:r w:rsidR="00071642" w:rsidRPr="00DD5E00">
              <w:rPr>
                <w:lang w:eastAsia="ro-RO"/>
              </w:rPr>
              <w:t xml:space="preserve"> țintelor din programele operaționale</w:t>
            </w:r>
            <w:r w:rsidRPr="00DD5E00">
              <w:rPr>
                <w:lang w:eastAsia="ro-RO"/>
              </w:rPr>
              <w:t xml:space="preserve"> prezenta ordonanță își propune</w:t>
            </w:r>
            <w:r w:rsidR="008A4D7C" w:rsidRPr="00DD5E00">
              <w:rPr>
                <w:lang w:eastAsia="ro-RO"/>
              </w:rPr>
              <w:t xml:space="preserve"> printr-o formulă de calcul obiectivă</w:t>
            </w:r>
            <w:r w:rsidRPr="00DD5E00">
              <w:rPr>
                <w:lang w:eastAsia="ro-RO"/>
              </w:rPr>
              <w:t>:</w:t>
            </w:r>
          </w:p>
          <w:p w14:paraId="718C0722" w14:textId="2679BE1D" w:rsidR="00745BB3" w:rsidRPr="00DD5E00" w:rsidRDefault="00745BB3" w:rsidP="00745BB3">
            <w:pPr>
              <w:numPr>
                <w:ilvl w:val="0"/>
                <w:numId w:val="15"/>
              </w:numPr>
              <w:jc w:val="both"/>
              <w:rPr>
                <w:lang w:eastAsia="ro-RO"/>
              </w:rPr>
            </w:pPr>
            <w:r w:rsidRPr="00DD5E00">
              <w:rPr>
                <w:lang w:eastAsia="ro-RO"/>
              </w:rPr>
              <w:t>să stabilească o modalitate de reechilibrare a contractelor care să fie conformă cu prevederile legale din domeniul achizițiilor</w:t>
            </w:r>
            <w:r w:rsidR="00AF52C7" w:rsidRPr="00DD5E00">
              <w:rPr>
                <w:lang w:eastAsia="ro-RO"/>
              </w:rPr>
              <w:t xml:space="preserve"> și care să deblocheze contractele</w:t>
            </w:r>
            <w:r w:rsidRPr="00DD5E00">
              <w:rPr>
                <w:lang w:eastAsia="ro-RO"/>
              </w:rPr>
              <w:t>,</w:t>
            </w:r>
          </w:p>
          <w:p w14:paraId="23FAA67A" w14:textId="08E5C18D" w:rsidR="00745BB3" w:rsidRPr="00DD5E00" w:rsidRDefault="00745BB3" w:rsidP="00745BB3">
            <w:pPr>
              <w:numPr>
                <w:ilvl w:val="0"/>
                <w:numId w:val="15"/>
              </w:numPr>
              <w:jc w:val="both"/>
              <w:rPr>
                <w:lang w:eastAsia="ro-RO"/>
              </w:rPr>
            </w:pPr>
            <w:r w:rsidRPr="00DD5E00">
              <w:rPr>
                <w:lang w:eastAsia="ro-RO"/>
              </w:rPr>
              <w:t xml:space="preserve">ca reechilibrarea contractelor să permită o ajustare </w:t>
            </w:r>
            <w:r w:rsidR="000F4F9F" w:rsidRPr="00DD5E00">
              <w:rPr>
                <w:lang w:eastAsia="ro-RO"/>
              </w:rPr>
              <w:t xml:space="preserve">adecvată </w:t>
            </w:r>
            <w:r w:rsidRPr="00DD5E00">
              <w:rPr>
                <w:lang w:eastAsia="ro-RO"/>
              </w:rPr>
              <w:t>a prețului contractelor, în special pentru contractele cu preț ferm</w:t>
            </w:r>
            <w:r w:rsidR="00071642" w:rsidRPr="00DD5E00">
              <w:rPr>
                <w:lang w:eastAsia="ro-RO"/>
              </w:rPr>
              <w:t xml:space="preserve"> sau cu formulă de ajustare care nu este în operativă la nivel de contract</w:t>
            </w:r>
            <w:r w:rsidR="00D81420" w:rsidRPr="00DD5E00">
              <w:rPr>
                <w:lang w:eastAsia="ro-RO"/>
              </w:rPr>
              <w:t xml:space="preserve"> sau insuficientă</w:t>
            </w:r>
            <w:r w:rsidRPr="00DD5E00">
              <w:rPr>
                <w:lang w:eastAsia="ro-RO"/>
              </w:rPr>
              <w:t>,</w:t>
            </w:r>
          </w:p>
          <w:p w14:paraId="3A10AED8" w14:textId="39283E3F" w:rsidR="00745BB3" w:rsidRPr="00DD5E00" w:rsidRDefault="00745BB3" w:rsidP="00745BB3">
            <w:pPr>
              <w:numPr>
                <w:ilvl w:val="0"/>
                <w:numId w:val="15"/>
              </w:numPr>
              <w:jc w:val="both"/>
              <w:rPr>
                <w:lang w:eastAsia="ro-RO"/>
              </w:rPr>
            </w:pPr>
            <w:r w:rsidRPr="00DD5E00">
              <w:rPr>
                <w:lang w:eastAsia="ro-RO"/>
              </w:rPr>
              <w:t>ca reechilibrarea drepturilor și obligațiilor contractuale să fie corelată cu prelungirea duratei de execuție atunci când respectarea termenelor inițiale devine, în ciuda eforturilor contractantului, imposibilă</w:t>
            </w:r>
            <w:r w:rsidR="00071642" w:rsidRPr="00DD5E00">
              <w:rPr>
                <w:lang w:eastAsia="ro-RO"/>
              </w:rPr>
              <w:t xml:space="preserve"> din motive de </w:t>
            </w:r>
            <w:r w:rsidR="00071642" w:rsidRPr="00635FA5">
              <w:rPr>
                <w:lang w:eastAsia="ro-RO"/>
              </w:rPr>
              <w:t>disponibilitate redusă a unor materii prime sau ca urmare a unei disponibilități reduse a materiilor prime</w:t>
            </w:r>
            <w:r w:rsidRPr="00DD5E00">
              <w:rPr>
                <w:lang w:eastAsia="ro-RO"/>
              </w:rPr>
              <w:t>.</w:t>
            </w:r>
          </w:p>
          <w:p w14:paraId="4E19485D" w14:textId="07FDF9B3" w:rsidR="008A4D7C" w:rsidRPr="00DD5E00" w:rsidRDefault="00745BB3" w:rsidP="00745BB3">
            <w:pPr>
              <w:jc w:val="both"/>
              <w:rPr>
                <w:lang w:eastAsia="ro-RO"/>
              </w:rPr>
            </w:pPr>
            <w:r w:rsidRPr="00DD5E00">
              <w:rPr>
                <w:lang w:eastAsia="ro-RO"/>
              </w:rPr>
              <w:t>La momentul semnării contractelor de lucrări</w:t>
            </w:r>
            <w:r w:rsidRPr="00635FA5">
              <w:rPr>
                <w:lang w:eastAsia="ro-RO"/>
              </w:rPr>
              <w:t xml:space="preserve"> </w:t>
            </w:r>
            <w:r w:rsidRPr="00DD5E00">
              <w:rPr>
                <w:lang w:eastAsia="ro-RO"/>
              </w:rPr>
              <w:t>și/sau a celor de produse aflate în strânsă legătură cu execuția lucrărilor, riscul</w:t>
            </w:r>
            <w:r w:rsidR="008A4D7C" w:rsidRPr="00DD5E00">
              <w:rPr>
                <w:lang w:eastAsia="ro-RO"/>
              </w:rPr>
              <w:t xml:space="preserve"> pandemic, riscul</w:t>
            </w:r>
            <w:r w:rsidRPr="00DD5E00">
              <w:rPr>
                <w:lang w:eastAsia="ro-RO"/>
              </w:rPr>
              <w:t xml:space="preserve"> izbucnirii conflictului armat </w:t>
            </w:r>
            <w:r w:rsidR="008A4D7C" w:rsidRPr="00DD5E00">
              <w:rPr>
                <w:lang w:eastAsia="ro-RO"/>
              </w:rPr>
              <w:t xml:space="preserve"> și criza energetică </w:t>
            </w:r>
            <w:r w:rsidRPr="00DD5E00">
              <w:rPr>
                <w:lang w:eastAsia="ro-RO"/>
              </w:rPr>
              <w:t>nu putea</w:t>
            </w:r>
            <w:r w:rsidR="008A4D7C" w:rsidRPr="00DD5E00">
              <w:rPr>
                <w:lang w:eastAsia="ro-RO"/>
              </w:rPr>
              <w:t>u</w:t>
            </w:r>
            <w:r w:rsidRPr="00DD5E00">
              <w:rPr>
                <w:lang w:eastAsia="ro-RO"/>
              </w:rPr>
              <w:t xml:space="preserve"> fi prevăzut</w:t>
            </w:r>
            <w:r w:rsidR="008A4D7C" w:rsidRPr="00DD5E00">
              <w:rPr>
                <w:lang w:eastAsia="ro-RO"/>
              </w:rPr>
              <w:t>e</w:t>
            </w:r>
            <w:r w:rsidRPr="00DD5E00">
              <w:rPr>
                <w:lang w:eastAsia="ro-RO"/>
              </w:rPr>
              <w:t xml:space="preserve"> și</w:t>
            </w:r>
            <w:r w:rsidR="008A4D7C" w:rsidRPr="00DD5E00">
              <w:rPr>
                <w:lang w:eastAsia="ro-RO"/>
              </w:rPr>
              <w:t xml:space="preserve"> implicit previzionate în riscul contractul obișnuit inclus în propunerile financiare ale ofertanților.</w:t>
            </w:r>
          </w:p>
          <w:p w14:paraId="3560EC72" w14:textId="625B8F87" w:rsidR="006D6113" w:rsidRPr="00DD5E00" w:rsidRDefault="006D6113" w:rsidP="00745BB3">
            <w:pPr>
              <w:jc w:val="both"/>
              <w:rPr>
                <w:lang w:eastAsia="ro-RO"/>
              </w:rPr>
            </w:pPr>
          </w:p>
          <w:p w14:paraId="6D9E1E22" w14:textId="6ADE2137" w:rsidR="006D6113" w:rsidRPr="00DD5E00" w:rsidRDefault="006D6113" w:rsidP="00745BB3">
            <w:pPr>
              <w:jc w:val="both"/>
              <w:rPr>
                <w:lang w:eastAsia="ro-RO"/>
              </w:rPr>
            </w:pPr>
            <w:r w:rsidRPr="00DD5E00">
              <w:rPr>
                <w:lang w:eastAsia="ro-RO"/>
              </w:rPr>
              <w:t>Prin contracte de produse aflate în strânsă legătură cu execuția lucrărilor se înțeleg contractele care au ca obiect dotări și/sau utilaje și echipamente tehnologice și funcționale necesare realizării lucrărilor și, respectiv, punerii în funcțiune și/sau destinate echipării și dotării specifice a obiectivelor/proiectelor de investiții/lucrărilor de întreținere și reparații curente/reparațiilor capitale, prevăzute la subcapitolele 4.3, 4.4 si 4.5 din Anexa nr. 6 la Hotărârea Guvernului nr. 907/2016 privind etapele de elaborare și conținutul-cadru al documentațiilor tehnico-economice aferente obiectivelor/proiectelor de investiții finanțate din fonduri publice, cu modificările și completările ulterioare.</w:t>
            </w:r>
          </w:p>
          <w:p w14:paraId="66AD35C9" w14:textId="1DF55523" w:rsidR="00AF52C7" w:rsidRPr="00DD5E00" w:rsidRDefault="00AF52C7" w:rsidP="00745BB3">
            <w:pPr>
              <w:jc w:val="both"/>
              <w:rPr>
                <w:lang w:eastAsia="ro-RO"/>
              </w:rPr>
            </w:pPr>
          </w:p>
          <w:p w14:paraId="67CFCF84" w14:textId="165A7A69" w:rsidR="00AF52C7" w:rsidRPr="00635FA5" w:rsidRDefault="00AF52C7" w:rsidP="00745BB3">
            <w:pPr>
              <w:jc w:val="both"/>
              <w:rPr>
                <w:lang w:eastAsia="ro-RO"/>
              </w:rPr>
            </w:pPr>
            <w:r w:rsidRPr="00DD5E00">
              <w:rPr>
                <w:lang w:eastAsia="ro-RO"/>
              </w:rPr>
              <w:t xml:space="preserve">Componenta </w:t>
            </w:r>
            <w:r w:rsidR="00D81420" w:rsidRPr="00DD5E00">
              <w:rPr>
                <w:lang w:eastAsia="ro-RO"/>
              </w:rPr>
              <w:t>de</w:t>
            </w:r>
            <w:r w:rsidRPr="00DD5E00">
              <w:rPr>
                <w:lang w:eastAsia="ro-RO"/>
              </w:rPr>
              <w:t xml:space="preserve"> execuție de lucrări din contractele de servicii se referă la </w:t>
            </w:r>
            <w:r w:rsidRPr="00635FA5">
              <w:rPr>
                <w:lang w:eastAsia="ro-RO"/>
              </w:rPr>
              <w:t>studiile geotehnice și hidrogeologice.</w:t>
            </w:r>
          </w:p>
          <w:p w14:paraId="2816C871" w14:textId="0D1456AB" w:rsidR="00D81420" w:rsidRPr="00DD5E00" w:rsidRDefault="00D81420" w:rsidP="00745BB3">
            <w:pPr>
              <w:jc w:val="both"/>
              <w:rPr>
                <w:lang w:eastAsia="ro-RO"/>
              </w:rPr>
            </w:pPr>
          </w:p>
          <w:p w14:paraId="604D99C3" w14:textId="76904CEF" w:rsidR="00D81420" w:rsidRPr="00DD5E00" w:rsidRDefault="00D81420" w:rsidP="00745BB3">
            <w:pPr>
              <w:jc w:val="both"/>
              <w:rPr>
                <w:lang w:eastAsia="ro-RO"/>
              </w:rPr>
            </w:pPr>
            <w:r w:rsidRPr="00DD5E00">
              <w:rPr>
                <w:lang w:eastAsia="ro-RO"/>
              </w:rPr>
              <w:t>În sfera de aplicabilitate a ordonanței nu sunt incluse:</w:t>
            </w:r>
          </w:p>
          <w:p w14:paraId="79032727" w14:textId="77777777" w:rsidR="00D81420" w:rsidRPr="00DD5E00" w:rsidRDefault="00D81420" w:rsidP="00D81420">
            <w:pPr>
              <w:jc w:val="both"/>
              <w:rPr>
                <w:lang w:eastAsia="ro-RO"/>
              </w:rPr>
            </w:pPr>
            <w:r w:rsidRPr="00DD5E00">
              <w:rPr>
                <w:lang w:eastAsia="ro-RO"/>
              </w:rPr>
              <w:t>a)</w:t>
            </w:r>
            <w:r w:rsidRPr="00DD5E00">
              <w:rPr>
                <w:lang w:eastAsia="ro-RO"/>
              </w:rPr>
              <w:tab/>
              <w:t>cheltuieli care au la bază contracte de consultanță/supervizarea precum și alte contracte de natură similară;</w:t>
            </w:r>
          </w:p>
          <w:p w14:paraId="0901F92F" w14:textId="77777777" w:rsidR="00D81420" w:rsidRPr="00DD5E00" w:rsidRDefault="00D81420" w:rsidP="00D81420">
            <w:pPr>
              <w:jc w:val="both"/>
              <w:rPr>
                <w:lang w:eastAsia="ro-RO"/>
              </w:rPr>
            </w:pPr>
            <w:r w:rsidRPr="00DD5E00">
              <w:rPr>
                <w:lang w:eastAsia="ro-RO"/>
              </w:rPr>
              <w:t>b)</w:t>
            </w:r>
            <w:r w:rsidRPr="00DD5E00">
              <w:rPr>
                <w:lang w:eastAsia="ro-RO"/>
              </w:rPr>
              <w:tab/>
              <w:t>cheltuieli care au la bază contracte de prestări servicii cu excepția contractelor care presupun elaborarea de studii geotehnice și hidrogeologice;</w:t>
            </w:r>
          </w:p>
          <w:p w14:paraId="2BC136D9" w14:textId="77777777" w:rsidR="00D81420" w:rsidRPr="00DD5E00" w:rsidRDefault="00D81420" w:rsidP="00D81420">
            <w:pPr>
              <w:jc w:val="both"/>
              <w:rPr>
                <w:lang w:eastAsia="ro-RO"/>
              </w:rPr>
            </w:pPr>
            <w:r w:rsidRPr="00DD5E00">
              <w:rPr>
                <w:lang w:eastAsia="ro-RO"/>
              </w:rPr>
              <w:t>c)</w:t>
            </w:r>
            <w:r w:rsidRPr="00DD5E00">
              <w:rPr>
                <w:lang w:eastAsia="ro-RO"/>
              </w:rPr>
              <w:tab/>
              <w:t>cheltuieli care au la bază contracte de asistență tehnică;</w:t>
            </w:r>
          </w:p>
          <w:p w14:paraId="2E61F435" w14:textId="77777777" w:rsidR="00D81420" w:rsidRPr="00DD5E00" w:rsidRDefault="00D81420" w:rsidP="00D81420">
            <w:pPr>
              <w:jc w:val="both"/>
              <w:rPr>
                <w:lang w:eastAsia="ro-RO"/>
              </w:rPr>
            </w:pPr>
            <w:r w:rsidRPr="00DD5E00">
              <w:rPr>
                <w:lang w:eastAsia="ro-RO"/>
              </w:rPr>
              <w:t>d)</w:t>
            </w:r>
            <w:r w:rsidRPr="00DD5E00">
              <w:rPr>
                <w:lang w:eastAsia="ro-RO"/>
              </w:rPr>
              <w:tab/>
              <w:t>cheltuieli care au la bază contracte pentru management de proiect;</w:t>
            </w:r>
          </w:p>
          <w:p w14:paraId="7EE252C4" w14:textId="77777777" w:rsidR="00D81420" w:rsidRPr="00DD5E00" w:rsidRDefault="00D81420" w:rsidP="00D81420">
            <w:pPr>
              <w:jc w:val="both"/>
              <w:rPr>
                <w:lang w:eastAsia="ro-RO"/>
              </w:rPr>
            </w:pPr>
            <w:r w:rsidRPr="00DD5E00">
              <w:rPr>
                <w:lang w:eastAsia="ro-RO"/>
              </w:rPr>
              <w:t>e)</w:t>
            </w:r>
            <w:r w:rsidRPr="00DD5E00">
              <w:rPr>
                <w:lang w:eastAsia="ro-RO"/>
              </w:rPr>
              <w:tab/>
              <w:t>cheltuieli care au la bază contracte pentru auditul de proiect;</w:t>
            </w:r>
          </w:p>
          <w:p w14:paraId="4B8E2E46" w14:textId="77777777" w:rsidR="00D81420" w:rsidRPr="00DD5E00" w:rsidRDefault="00D81420" w:rsidP="00D81420">
            <w:pPr>
              <w:jc w:val="both"/>
              <w:rPr>
                <w:lang w:eastAsia="ro-RO"/>
              </w:rPr>
            </w:pPr>
            <w:r w:rsidRPr="00DD5E00">
              <w:rPr>
                <w:lang w:eastAsia="ro-RO"/>
              </w:rPr>
              <w:t>f)</w:t>
            </w:r>
            <w:r w:rsidRPr="00DD5E00">
              <w:rPr>
                <w:lang w:eastAsia="ro-RO"/>
              </w:rPr>
              <w:tab/>
              <w:t>cheltuieli de natură salarială;</w:t>
            </w:r>
          </w:p>
          <w:p w14:paraId="18E462D7" w14:textId="14AB1FE9" w:rsidR="00D81420" w:rsidRPr="00DD5E00" w:rsidRDefault="00D81420" w:rsidP="00D81420">
            <w:pPr>
              <w:jc w:val="both"/>
              <w:rPr>
                <w:lang w:eastAsia="ro-RO"/>
              </w:rPr>
            </w:pPr>
            <w:r w:rsidRPr="00DD5E00">
              <w:rPr>
                <w:lang w:eastAsia="ro-RO"/>
              </w:rPr>
              <w:t>g)</w:t>
            </w:r>
            <w:r w:rsidRPr="00DD5E00">
              <w:rPr>
                <w:lang w:eastAsia="ro-RO"/>
              </w:rPr>
              <w:tab/>
            </w:r>
            <w:r w:rsidR="00A71064">
              <w:rPr>
                <w:lang w:eastAsia="ro-RO"/>
              </w:rPr>
              <w:t>a</w:t>
            </w:r>
            <w:r w:rsidRPr="00DD5E00">
              <w:rPr>
                <w:lang w:eastAsia="ro-RO"/>
              </w:rPr>
              <w:t xml:space="preserve">lte categorii de cheltuieli de prestări servicii sau de natură similară </w:t>
            </w:r>
            <w:r w:rsidR="00A71064">
              <w:rPr>
                <w:lang w:eastAsia="ro-RO"/>
              </w:rPr>
              <w:t xml:space="preserve">aferente unor angajamente </w:t>
            </w:r>
            <w:r w:rsidRPr="00DD5E00">
              <w:rPr>
                <w:lang w:eastAsia="ro-RO"/>
              </w:rPr>
              <w:t>încheiate potrivit legii.</w:t>
            </w:r>
          </w:p>
          <w:p w14:paraId="1FF40D1A" w14:textId="77777777" w:rsidR="008A4D7C" w:rsidRPr="00DD5E00" w:rsidRDefault="008A4D7C" w:rsidP="00745BB3">
            <w:pPr>
              <w:jc w:val="both"/>
              <w:rPr>
                <w:lang w:eastAsia="ro-RO"/>
              </w:rPr>
            </w:pPr>
          </w:p>
          <w:p w14:paraId="2D106910" w14:textId="31A65D71" w:rsidR="00745BB3" w:rsidRPr="00DD5E00" w:rsidRDefault="00D81420" w:rsidP="00745BB3">
            <w:pPr>
              <w:jc w:val="both"/>
              <w:rPr>
                <w:lang w:eastAsia="ro-RO"/>
              </w:rPr>
            </w:pPr>
            <w:r w:rsidRPr="00DD5E00">
              <w:rPr>
                <w:lang w:eastAsia="ro-RO"/>
              </w:rPr>
              <w:t>R</w:t>
            </w:r>
            <w:r w:rsidR="008A4D7C" w:rsidRPr="00DD5E00">
              <w:rPr>
                <w:lang w:eastAsia="ro-RO"/>
              </w:rPr>
              <w:t>iscuri</w:t>
            </w:r>
            <w:r w:rsidRPr="00DD5E00">
              <w:rPr>
                <w:lang w:eastAsia="ro-RO"/>
              </w:rPr>
              <w:t>le</w:t>
            </w:r>
            <w:r w:rsidR="008A4D7C" w:rsidRPr="00DD5E00">
              <w:rPr>
                <w:lang w:eastAsia="ro-RO"/>
              </w:rPr>
              <w:t xml:space="preserve"> succesive</w:t>
            </w:r>
            <w:r w:rsidR="00745BB3" w:rsidRPr="00DD5E00">
              <w:rPr>
                <w:lang w:eastAsia="ro-RO"/>
              </w:rPr>
              <w:t>,</w:t>
            </w:r>
            <w:r w:rsidR="008A4D7C" w:rsidRPr="00DD5E00">
              <w:rPr>
                <w:lang w:eastAsia="ro-RO"/>
              </w:rPr>
              <w:t xml:space="preserve"> pot fi</w:t>
            </w:r>
            <w:r w:rsidR="00745BB3" w:rsidRPr="00DD5E00">
              <w:rPr>
                <w:lang w:eastAsia="ro-RO"/>
              </w:rPr>
              <w:t xml:space="preserve"> asimilat</w:t>
            </w:r>
            <w:r w:rsidR="008A4D7C" w:rsidRPr="00DD5E00">
              <w:rPr>
                <w:lang w:eastAsia="ro-RO"/>
              </w:rPr>
              <w:t>e</w:t>
            </w:r>
            <w:r w:rsidR="00745BB3" w:rsidRPr="00DD5E00">
              <w:rPr>
                <w:lang w:eastAsia="ro-RO"/>
              </w:rPr>
              <w:t xml:space="preserve"> unui eveniment imprevizibil care a generat situațiile de creștere a prețurilor aferente contractelor, care nu se încadrează în posibilitatea reală a unei </w:t>
            </w:r>
            <w:r w:rsidR="00BD4BB8" w:rsidRPr="00DD5E00">
              <w:rPr>
                <w:lang w:eastAsia="ro-RO"/>
              </w:rPr>
              <w:t>autorități/entități contractante</w:t>
            </w:r>
            <w:r w:rsidR="00745BB3" w:rsidRPr="00DD5E00">
              <w:rPr>
                <w:lang w:eastAsia="ro-RO"/>
              </w:rPr>
              <w:t xml:space="preserve"> responsabile de a</w:t>
            </w:r>
            <w:r w:rsidR="008A4D7C" w:rsidRPr="00DD5E00">
              <w:rPr>
                <w:lang w:eastAsia="ro-RO"/>
              </w:rPr>
              <w:t xml:space="preserve"> </w:t>
            </w:r>
            <w:r w:rsidR="00745BB3" w:rsidRPr="00DD5E00">
              <w:rPr>
                <w:lang w:eastAsia="ro-RO"/>
              </w:rPr>
              <w:t>l</w:t>
            </w:r>
            <w:r w:rsidR="008A4D7C" w:rsidRPr="00DD5E00">
              <w:rPr>
                <w:lang w:eastAsia="ro-RO"/>
              </w:rPr>
              <w:t>e</w:t>
            </w:r>
            <w:r w:rsidR="00745BB3" w:rsidRPr="00DD5E00">
              <w:rPr>
                <w:lang w:eastAsia="ro-RO"/>
              </w:rPr>
              <w:t xml:space="preserve"> </w:t>
            </w:r>
            <w:r w:rsidR="00BD4BB8" w:rsidRPr="00DD5E00">
              <w:rPr>
                <w:lang w:eastAsia="ro-RO"/>
              </w:rPr>
              <w:t>identifica la momentul pregătirii achiziției</w:t>
            </w:r>
            <w:r w:rsidR="00745BB3" w:rsidRPr="00DD5E00">
              <w:rPr>
                <w:lang w:eastAsia="ro-RO"/>
              </w:rPr>
              <w:t xml:space="preserve"> printr-o diligență normală</w:t>
            </w:r>
            <w:r w:rsidR="008A4D7C" w:rsidRPr="00DD5E00">
              <w:rPr>
                <w:lang w:eastAsia="ro-RO"/>
              </w:rPr>
              <w:t xml:space="preserve"> sau în propunerile financiare ale ofertanților</w:t>
            </w:r>
            <w:r w:rsidR="00745BB3" w:rsidRPr="00DD5E00">
              <w:rPr>
                <w:lang w:eastAsia="ro-RO"/>
              </w:rPr>
              <w:t>.</w:t>
            </w:r>
          </w:p>
          <w:p w14:paraId="0A706CF5" w14:textId="77777777" w:rsidR="008A4D7C" w:rsidRPr="00DD5E00" w:rsidRDefault="008A4D7C" w:rsidP="00745BB3">
            <w:pPr>
              <w:jc w:val="both"/>
              <w:rPr>
                <w:lang w:eastAsia="ro-RO"/>
              </w:rPr>
            </w:pPr>
          </w:p>
          <w:p w14:paraId="644DE54F" w14:textId="5EF7A58B" w:rsidR="008A4D7C" w:rsidRPr="00635FA5" w:rsidRDefault="00745BB3" w:rsidP="00745BB3">
            <w:pPr>
              <w:jc w:val="both"/>
              <w:rPr>
                <w:lang w:eastAsia="ro-RO"/>
              </w:rPr>
            </w:pPr>
            <w:r w:rsidRPr="00635FA5">
              <w:rPr>
                <w:lang w:eastAsia="ro-RO"/>
              </w:rPr>
              <w:t xml:space="preserve">Situațiile externe imprevizibile care nu puteau fi prevăzute </w:t>
            </w:r>
            <w:r w:rsidR="00BD4BB8" w:rsidRPr="00635FA5">
              <w:rPr>
                <w:lang w:eastAsia="ro-RO"/>
              </w:rPr>
              <w:t>la momentul pregătirii achiziției</w:t>
            </w:r>
            <w:r w:rsidRPr="00635FA5">
              <w:rPr>
                <w:lang w:eastAsia="ro-RO"/>
              </w:rPr>
              <w:t xml:space="preserve">, în special </w:t>
            </w:r>
            <w:r w:rsidR="00BD4BB8" w:rsidRPr="00635FA5">
              <w:rPr>
                <w:lang w:eastAsia="ro-RO"/>
              </w:rPr>
              <w:t>în cazul contractelor pe termen lung</w:t>
            </w:r>
            <w:r w:rsidRPr="00635FA5">
              <w:rPr>
                <w:lang w:eastAsia="ro-RO"/>
              </w:rPr>
              <w:t>, se pot încadra în prevederile art. 221 alin. (1) lit. c) din Legea nr. 98/2016 privind achizițiile publice, cu modificările și completările ulterioare, respectiv art. 238 din Legea nr. 99/2016 privind achizițiile sectoriale, cu modificările și completările ulterioare</w:t>
            </w:r>
            <w:r w:rsidR="000F4F9F" w:rsidRPr="00635FA5">
              <w:rPr>
                <w:lang w:eastAsia="ro-RO"/>
              </w:rPr>
              <w:t xml:space="preserve"> și presupun o analiză prealabilă adaptată fiecărui caz în parte</w:t>
            </w:r>
            <w:r w:rsidRPr="00635FA5">
              <w:rPr>
                <w:lang w:eastAsia="ro-RO"/>
              </w:rPr>
              <w:t xml:space="preserve">. </w:t>
            </w:r>
          </w:p>
          <w:p w14:paraId="3C9E3AD2" w14:textId="77777777" w:rsidR="008A4D7C" w:rsidRPr="00635FA5" w:rsidRDefault="008A4D7C" w:rsidP="00745BB3">
            <w:pPr>
              <w:jc w:val="both"/>
              <w:rPr>
                <w:lang w:eastAsia="ro-RO"/>
              </w:rPr>
            </w:pPr>
          </w:p>
          <w:p w14:paraId="699B676C" w14:textId="1B62E956" w:rsidR="00745BB3" w:rsidRPr="00635FA5" w:rsidRDefault="00745BB3" w:rsidP="00745BB3">
            <w:pPr>
              <w:jc w:val="both"/>
              <w:rPr>
                <w:lang w:eastAsia="ro-RO"/>
              </w:rPr>
            </w:pPr>
            <w:r w:rsidRPr="00635FA5">
              <w:rPr>
                <w:lang w:eastAsia="ro-RO"/>
              </w:rPr>
              <w:t>Ajustarea prețului contractului se poate realiza în urma stabilirii unei relații de cauzalitate între situația economică și militară actuală și dificultățile în implementarea contractului, respectiv justificarea solicitării de ajustare a valorii contractului ca urmare a creșterilor concrete pe elemente constitutive ale prețului.</w:t>
            </w:r>
          </w:p>
          <w:p w14:paraId="09DB878F" w14:textId="77777777" w:rsidR="00745BB3" w:rsidRPr="00635FA5" w:rsidRDefault="00745BB3" w:rsidP="00745BB3">
            <w:pPr>
              <w:jc w:val="both"/>
              <w:rPr>
                <w:lang w:eastAsia="ro-RO"/>
              </w:rPr>
            </w:pPr>
          </w:p>
          <w:p w14:paraId="45EC2CF3" w14:textId="0B6A01BC" w:rsidR="00745BB3" w:rsidRPr="00635FA5" w:rsidRDefault="00745BB3" w:rsidP="00745BB3">
            <w:pPr>
              <w:jc w:val="both"/>
              <w:rPr>
                <w:lang w:eastAsia="ro-RO"/>
              </w:rPr>
            </w:pPr>
            <w:r w:rsidRPr="00DD5E00">
              <w:rPr>
                <w:lang w:eastAsia="ro-RO"/>
              </w:rPr>
              <w:t>Astfel, încadrarea ajustării prețului în contextul evenimetelor imprevizibile presupune îndeplinirea unor condiții cumulative de strictă interpretare</w:t>
            </w:r>
            <w:r w:rsidRPr="00635FA5">
              <w:rPr>
                <w:lang w:eastAsia="ro-RO"/>
              </w:rPr>
              <w:t>, respectiv:</w:t>
            </w:r>
          </w:p>
          <w:p w14:paraId="1085425E" w14:textId="77777777" w:rsidR="00745BB3" w:rsidRPr="00635FA5" w:rsidRDefault="00745BB3" w:rsidP="00745BB3">
            <w:pPr>
              <w:jc w:val="both"/>
              <w:rPr>
                <w:lang w:eastAsia="ro-RO"/>
              </w:rPr>
            </w:pPr>
          </w:p>
          <w:p w14:paraId="634FCCB0" w14:textId="01C4CD3A" w:rsidR="00745BB3" w:rsidRPr="00635FA5" w:rsidRDefault="00745BB3" w:rsidP="00745BB3">
            <w:pPr>
              <w:jc w:val="both"/>
              <w:rPr>
                <w:lang w:eastAsia="ro-RO"/>
              </w:rPr>
            </w:pPr>
            <w:r w:rsidRPr="00635FA5">
              <w:rPr>
                <w:lang w:eastAsia="ro-RO"/>
              </w:rPr>
              <w:t>Art. 221 alin. (1</w:t>
            </w:r>
            <w:r w:rsidR="00BD4BB8" w:rsidRPr="00635FA5">
              <w:rPr>
                <w:lang w:eastAsia="ro-RO"/>
              </w:rPr>
              <w:t>) lit. c) din Legea nr. 98/2016</w:t>
            </w:r>
          </w:p>
          <w:p w14:paraId="076C7327" w14:textId="77777777" w:rsidR="00745BB3" w:rsidRPr="00635FA5" w:rsidRDefault="00745BB3" w:rsidP="00745BB3">
            <w:pPr>
              <w:jc w:val="both"/>
              <w:rPr>
                <w:lang w:eastAsia="ro-RO"/>
              </w:rPr>
            </w:pPr>
            <w:r w:rsidRPr="00635FA5">
              <w:rPr>
                <w:lang w:eastAsia="ro-RO"/>
              </w:rPr>
              <w:t xml:space="preserve">„Contractele de achiziţie publică/Acordurile-cadru pot fi modificate, fără organizarea unei noi proceduri de atribuire, în următoarele situaţii: </w:t>
            </w:r>
          </w:p>
          <w:p w14:paraId="668A5244" w14:textId="77777777" w:rsidR="00745BB3" w:rsidRPr="00635FA5" w:rsidRDefault="00745BB3" w:rsidP="00745BB3">
            <w:pPr>
              <w:jc w:val="both"/>
              <w:rPr>
                <w:lang w:eastAsia="ro-RO"/>
              </w:rPr>
            </w:pPr>
            <w:r w:rsidRPr="00635FA5">
              <w:rPr>
                <w:lang w:eastAsia="ro-RO"/>
              </w:rPr>
              <w:t>(...)</w:t>
            </w:r>
          </w:p>
          <w:p w14:paraId="79AFF247" w14:textId="77777777" w:rsidR="000F4F9F" w:rsidRPr="00635FA5" w:rsidRDefault="00745BB3" w:rsidP="00745BB3">
            <w:pPr>
              <w:jc w:val="both"/>
              <w:rPr>
                <w:lang w:eastAsia="ro-RO"/>
              </w:rPr>
            </w:pPr>
            <w:r w:rsidRPr="00635FA5">
              <w:rPr>
                <w:lang w:eastAsia="ro-RO"/>
              </w:rPr>
              <w:t xml:space="preserve">c) atunci când sunt îndeplinite în mod cumulativ următoarele condiţii: </w:t>
            </w:r>
          </w:p>
          <w:p w14:paraId="723AB348" w14:textId="77777777" w:rsidR="000F4F9F" w:rsidRPr="00635FA5" w:rsidRDefault="00745BB3" w:rsidP="00745BB3">
            <w:pPr>
              <w:jc w:val="both"/>
              <w:rPr>
                <w:lang w:eastAsia="ro-RO"/>
              </w:rPr>
            </w:pPr>
            <w:r w:rsidRPr="00635FA5">
              <w:rPr>
                <w:lang w:eastAsia="ro-RO"/>
              </w:rPr>
              <w:t xml:space="preserve">(i) modificarea a devenit necesară în urma unor circumstanţe pe care o autoritate contractantă care acţionează cu diligenţă nu ar fi putut să le prevadă; </w:t>
            </w:r>
          </w:p>
          <w:p w14:paraId="0D858D58" w14:textId="77777777" w:rsidR="000F4F9F" w:rsidRPr="00635FA5" w:rsidRDefault="00745BB3" w:rsidP="00745BB3">
            <w:pPr>
              <w:jc w:val="both"/>
              <w:rPr>
                <w:lang w:eastAsia="ro-RO"/>
              </w:rPr>
            </w:pPr>
            <w:r w:rsidRPr="00635FA5">
              <w:rPr>
                <w:lang w:eastAsia="ro-RO"/>
              </w:rPr>
              <w:t xml:space="preserve">(ii) modificarea nu afectează caracterul general al contractului; </w:t>
            </w:r>
          </w:p>
          <w:p w14:paraId="6382F642" w14:textId="50FCCE5C" w:rsidR="00745BB3" w:rsidRPr="00635FA5" w:rsidRDefault="00745BB3" w:rsidP="00745BB3">
            <w:pPr>
              <w:jc w:val="both"/>
              <w:rPr>
                <w:lang w:eastAsia="ro-RO"/>
              </w:rPr>
            </w:pPr>
            <w:r w:rsidRPr="00635FA5">
              <w:rPr>
                <w:lang w:eastAsia="ro-RO"/>
              </w:rPr>
              <w:lastRenderedPageBreak/>
              <w:t>(iii) creşterea preţului nu depăşeşte 50% din valoarea contractului de achiziţie publică/acordului-cadru iniţial;”</w:t>
            </w:r>
          </w:p>
          <w:p w14:paraId="322E2FF9" w14:textId="77777777" w:rsidR="00745BB3" w:rsidRPr="00635FA5" w:rsidRDefault="00745BB3" w:rsidP="00745BB3">
            <w:pPr>
              <w:jc w:val="both"/>
              <w:rPr>
                <w:lang w:eastAsia="ro-RO"/>
              </w:rPr>
            </w:pPr>
          </w:p>
          <w:p w14:paraId="30F32FCF" w14:textId="7601DD8B" w:rsidR="00745BB3" w:rsidRPr="00635FA5" w:rsidRDefault="00745BB3" w:rsidP="00745BB3">
            <w:pPr>
              <w:jc w:val="both"/>
              <w:rPr>
                <w:lang w:eastAsia="ro-RO"/>
              </w:rPr>
            </w:pPr>
            <w:r w:rsidRPr="00635FA5">
              <w:rPr>
                <w:lang w:eastAsia="ro-RO"/>
              </w:rPr>
              <w:t>Art. 238 din Legea nr. 99/2016</w:t>
            </w:r>
          </w:p>
          <w:p w14:paraId="7C7DF58E" w14:textId="77777777" w:rsidR="00745BB3" w:rsidRPr="00635FA5" w:rsidRDefault="00745BB3" w:rsidP="00745BB3">
            <w:pPr>
              <w:jc w:val="both"/>
              <w:rPr>
                <w:lang w:eastAsia="ro-RO"/>
              </w:rPr>
            </w:pPr>
            <w:r w:rsidRPr="00635FA5">
              <w:rPr>
                <w:lang w:eastAsia="ro-RO"/>
              </w:rPr>
              <w:t xml:space="preserve">„Contractele sectoriale şi acordurile-cadru pot fi modificate, fără organizarea unei noi proceduri de atribuire atunci când sunt îndeplinite în mod cumulativ următoarele condiţii: </w:t>
            </w:r>
          </w:p>
          <w:p w14:paraId="0742553B" w14:textId="77777777" w:rsidR="00745BB3" w:rsidRPr="00635FA5" w:rsidRDefault="00745BB3" w:rsidP="00745BB3">
            <w:pPr>
              <w:jc w:val="both"/>
              <w:rPr>
                <w:lang w:eastAsia="ro-RO"/>
              </w:rPr>
            </w:pPr>
            <w:r w:rsidRPr="00635FA5">
              <w:rPr>
                <w:lang w:eastAsia="ro-RO"/>
              </w:rPr>
              <w:t xml:space="preserve">a) modificarea a devenit necesară în urma unor circumstanţe pe care o entitate contractantă care acţionează cu diligenţă nu ar fi putut să le prevadă; </w:t>
            </w:r>
          </w:p>
          <w:p w14:paraId="16CC69AA" w14:textId="1220E7B1" w:rsidR="00745BB3" w:rsidRPr="00635FA5" w:rsidRDefault="00745BB3" w:rsidP="00745BB3">
            <w:pPr>
              <w:jc w:val="both"/>
              <w:rPr>
                <w:lang w:eastAsia="ro-RO"/>
              </w:rPr>
            </w:pPr>
            <w:r w:rsidRPr="00635FA5">
              <w:rPr>
                <w:lang w:eastAsia="ro-RO"/>
              </w:rPr>
              <w:t>b) modificarea nu afectează caracterul general al contractului.”</w:t>
            </w:r>
          </w:p>
          <w:p w14:paraId="1365375D" w14:textId="2D0997E5" w:rsidR="00D81420" w:rsidRPr="00635FA5" w:rsidRDefault="00D81420" w:rsidP="00745BB3">
            <w:pPr>
              <w:jc w:val="both"/>
              <w:rPr>
                <w:lang w:eastAsia="ro-RO"/>
              </w:rPr>
            </w:pPr>
          </w:p>
          <w:p w14:paraId="6414ED01" w14:textId="784480B4" w:rsidR="00D81420" w:rsidRPr="00635FA5" w:rsidRDefault="00D81420" w:rsidP="00745BB3">
            <w:pPr>
              <w:jc w:val="both"/>
              <w:rPr>
                <w:lang w:eastAsia="ro-RO"/>
              </w:rPr>
            </w:pPr>
            <w:r w:rsidRPr="00635FA5">
              <w:rPr>
                <w:lang w:eastAsia="ro-RO"/>
              </w:rPr>
              <w:t>În cazul în care se efectuează majorarea prețului contractului de achiziție prin mai multe modificări succesive conform art. 221 alin. (1) lit. b) și c) din Legea nr. 98/2016, respectiv art. 237 alin. (1) și art. 238 din Legea nr. 99/2016, valoarea cumulată a modificărilor contractului, inclusiv cele aferente prezentei ordonanțe de urgență, nu va depăși 50% din prețul inițial al contractului de achiziție.</w:t>
            </w:r>
          </w:p>
          <w:p w14:paraId="3AFE5F32" w14:textId="77777777" w:rsidR="00745BB3" w:rsidRPr="00635FA5" w:rsidRDefault="00745BB3" w:rsidP="00745BB3">
            <w:pPr>
              <w:jc w:val="both"/>
              <w:rPr>
                <w:lang w:eastAsia="ro-RO"/>
              </w:rPr>
            </w:pPr>
          </w:p>
          <w:p w14:paraId="4B96E318" w14:textId="578C2E5A" w:rsidR="00745BB3" w:rsidRPr="00DD5E00" w:rsidRDefault="00745BB3" w:rsidP="00745BB3">
            <w:pPr>
              <w:jc w:val="both"/>
              <w:rPr>
                <w:lang w:eastAsia="ro-RO"/>
              </w:rPr>
            </w:pPr>
            <w:r w:rsidRPr="00DD5E00">
              <w:rPr>
                <w:lang w:eastAsia="ro-RO"/>
              </w:rPr>
              <w:t>În acest context, prezenta ordonanță de urgență pune la dispoziția părților contractante o metodă de reechilibrare a contractelor de, afectate de contextul pandemic</w:t>
            </w:r>
            <w:r w:rsidR="006D6113" w:rsidRPr="00DD5E00">
              <w:rPr>
                <w:lang w:eastAsia="ro-RO"/>
              </w:rPr>
              <w:t>, criza energetică</w:t>
            </w:r>
            <w:r w:rsidRPr="00DD5E00">
              <w:rPr>
                <w:lang w:eastAsia="ro-RO"/>
              </w:rPr>
              <w:t xml:space="preserve"> și de agresiunea rusă în Ucraina, implicit de starea de dezorganizare a pieței rezult</w:t>
            </w:r>
            <w:r w:rsidR="006D6113" w:rsidRPr="00DD5E00">
              <w:rPr>
                <w:lang w:eastAsia="ro-RO"/>
              </w:rPr>
              <w:t>ată</w:t>
            </w:r>
            <w:r w:rsidRPr="00DD5E00">
              <w:rPr>
                <w:lang w:eastAsia="ro-RO"/>
              </w:rPr>
              <w:t>, stare care generează creșteri semnificative ale costurilor în special în domeniul construcțiilor dar și dificultăți și întârzieri semnificative în aprovizionare.</w:t>
            </w:r>
          </w:p>
          <w:p w14:paraId="19980719" w14:textId="785514EF" w:rsidR="00493D01" w:rsidRPr="00DD5E00" w:rsidRDefault="00493D01" w:rsidP="00745BB3">
            <w:pPr>
              <w:jc w:val="both"/>
              <w:rPr>
                <w:lang w:eastAsia="ro-RO"/>
              </w:rPr>
            </w:pPr>
          </w:p>
          <w:p w14:paraId="78725F33" w14:textId="1078180C" w:rsidR="00493D01" w:rsidRPr="00DD5E00" w:rsidRDefault="00493D01" w:rsidP="00493D01">
            <w:pPr>
              <w:jc w:val="both"/>
              <w:rPr>
                <w:lang w:eastAsia="ro-RO"/>
              </w:rPr>
            </w:pPr>
            <w:r w:rsidRPr="00DD5E00">
              <w:rPr>
                <w:lang w:eastAsia="ro-RO"/>
              </w:rPr>
              <w:t>Ajustarea de preț este analizată de beneficiarii de fonduri externe nerambursabile la solicitarea contractanților din perspectiva următoarelor condiții de imprevizibilitate cumulative:</w:t>
            </w:r>
          </w:p>
          <w:p w14:paraId="6A3F4C23" w14:textId="77777777" w:rsidR="00493D01" w:rsidRPr="00DD5E00" w:rsidRDefault="00493D01" w:rsidP="00493D01">
            <w:pPr>
              <w:jc w:val="both"/>
              <w:rPr>
                <w:lang w:eastAsia="ro-RO"/>
              </w:rPr>
            </w:pPr>
          </w:p>
          <w:p w14:paraId="7B61C45B" w14:textId="77777777" w:rsidR="00D81420" w:rsidRPr="00DD5E00" w:rsidRDefault="00D81420" w:rsidP="00D81420">
            <w:pPr>
              <w:jc w:val="both"/>
              <w:rPr>
                <w:lang w:eastAsia="ro-RO"/>
              </w:rPr>
            </w:pPr>
            <w:r w:rsidRPr="00DD5E00">
              <w:rPr>
                <w:lang w:eastAsia="ro-RO"/>
              </w:rPr>
              <w:t>a) schimbarea condițiilor economice, pe bază cărora s-a fundamentat prețul contractelor, a intervenit după termenul limită pentru depunerea ofertelor;</w:t>
            </w:r>
          </w:p>
          <w:p w14:paraId="70B6E21F" w14:textId="77777777" w:rsidR="00D81420" w:rsidRPr="00DD5E00" w:rsidRDefault="00D81420" w:rsidP="00D81420">
            <w:pPr>
              <w:jc w:val="both"/>
              <w:rPr>
                <w:lang w:eastAsia="ro-RO"/>
              </w:rPr>
            </w:pPr>
            <w:r w:rsidRPr="00DD5E00">
              <w:rPr>
                <w:lang w:eastAsia="ro-RO"/>
              </w:rPr>
              <w:t xml:space="preserve">b) schimbarea, menționată la litera a), nu putea fi avută în vedere de către părțile contractante la momentul inițierii procedurii de atribuire sau al achiziției directe, respectiv la momentul elaborării ofertei; </w:t>
            </w:r>
          </w:p>
          <w:p w14:paraId="330DC443" w14:textId="77777777" w:rsidR="00D81420" w:rsidRPr="00DD5E00" w:rsidRDefault="00D81420" w:rsidP="00D81420">
            <w:pPr>
              <w:jc w:val="both"/>
              <w:rPr>
                <w:lang w:eastAsia="ro-RO"/>
              </w:rPr>
            </w:pPr>
            <w:r w:rsidRPr="00DD5E00">
              <w:rPr>
                <w:lang w:eastAsia="ro-RO"/>
              </w:rPr>
              <w:t>c) contractantul, în situațiile menționate la literele a) și b), nu putea determina, în mod obiectiv, întinderea corectă a riscului contractual în propunerea financiară;</w:t>
            </w:r>
          </w:p>
          <w:p w14:paraId="7692F911" w14:textId="322F01B4" w:rsidR="00745BB3" w:rsidRPr="00DD5E00" w:rsidRDefault="00D81420" w:rsidP="00D81420">
            <w:pPr>
              <w:jc w:val="both"/>
              <w:rPr>
                <w:lang w:eastAsia="ro-RO"/>
              </w:rPr>
            </w:pPr>
            <w:r w:rsidRPr="00DD5E00">
              <w:rPr>
                <w:lang w:eastAsia="ro-RO"/>
              </w:rPr>
              <w:t xml:space="preserve">d) contractantul face dovada creșterii costurilor pe bază cărora s-a fundamentat prețul inițial al contractului, inclusiv prin oferte de preț actualizate pe elementele semnificative de cost ale acestuia. </w:t>
            </w:r>
          </w:p>
          <w:p w14:paraId="6E89E639" w14:textId="1DBEA85C" w:rsidR="00CA57AB" w:rsidRPr="00DD5E00" w:rsidRDefault="00CA57AB" w:rsidP="00CA57AB">
            <w:pPr>
              <w:jc w:val="both"/>
              <w:rPr>
                <w:lang w:eastAsia="ro-RO"/>
              </w:rPr>
            </w:pPr>
            <w:r w:rsidRPr="00DD5E00">
              <w:rPr>
                <w:lang w:eastAsia="ro-RO"/>
              </w:rPr>
              <w:t>Reechilibrarea drepturilor și obligațiilor contractuale va fi realizată în baza unei analize efectuată de părțile contractante la nivelul fiecărui contract.</w:t>
            </w:r>
          </w:p>
          <w:p w14:paraId="364D9B3A" w14:textId="5A48D6B0" w:rsidR="00CA57AB" w:rsidRPr="00DD5E00" w:rsidRDefault="00CA57AB" w:rsidP="00CA57AB">
            <w:pPr>
              <w:jc w:val="both"/>
              <w:rPr>
                <w:lang w:eastAsia="ro-RO"/>
              </w:rPr>
            </w:pPr>
          </w:p>
          <w:p w14:paraId="3760F6E1" w14:textId="065CFC6B" w:rsidR="00CA57AB" w:rsidRPr="00DD5E00" w:rsidRDefault="00CA57AB" w:rsidP="00CA57AB">
            <w:pPr>
              <w:jc w:val="both"/>
              <w:rPr>
                <w:lang w:eastAsia="ro-RO"/>
              </w:rPr>
            </w:pPr>
            <w:r w:rsidRPr="00DD5E00">
              <w:rPr>
                <w:lang w:eastAsia="ro-RO"/>
              </w:rPr>
              <w:t>Ajustarea se realizează în două etape</w:t>
            </w:r>
            <w:r w:rsidR="00EA1D46" w:rsidRPr="00DD5E00">
              <w:rPr>
                <w:lang w:eastAsia="ro-RO"/>
              </w:rPr>
              <w:t xml:space="preserve"> principale</w:t>
            </w:r>
            <w:r w:rsidRPr="00DD5E00">
              <w:rPr>
                <w:lang w:eastAsia="ro-RO"/>
              </w:rPr>
              <w:t>:</w:t>
            </w:r>
          </w:p>
          <w:p w14:paraId="4C427693" w14:textId="77777777" w:rsidR="00CA57AB" w:rsidRPr="00DD5E00" w:rsidRDefault="00CA57AB" w:rsidP="00CA57AB">
            <w:pPr>
              <w:jc w:val="both"/>
              <w:rPr>
                <w:lang w:eastAsia="ro-RO"/>
              </w:rPr>
            </w:pPr>
          </w:p>
          <w:p w14:paraId="5F60A053" w14:textId="2DEA792F" w:rsidR="00CA57AB" w:rsidRPr="00DD5E00" w:rsidRDefault="000F4F9F" w:rsidP="00CA57AB">
            <w:pPr>
              <w:pStyle w:val="ListParagraph"/>
              <w:numPr>
                <w:ilvl w:val="0"/>
                <w:numId w:val="17"/>
              </w:numPr>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A</w:t>
            </w:r>
            <w:r w:rsidR="00CA57AB" w:rsidRPr="00DD5E00">
              <w:rPr>
                <w:rFonts w:ascii="Times New Roman" w:eastAsia="Times New Roman" w:hAnsi="Times New Roman" w:cs="Times New Roman"/>
                <w:lang w:eastAsia="ro-RO"/>
              </w:rPr>
              <w:t>naliză la nivel contractului de achiziție;</w:t>
            </w:r>
          </w:p>
          <w:p w14:paraId="3B9B52E2" w14:textId="77777777" w:rsidR="000F4F9F" w:rsidRPr="00DD5E00" w:rsidRDefault="000F4F9F" w:rsidP="000F4F9F">
            <w:pPr>
              <w:jc w:val="both"/>
              <w:rPr>
                <w:lang w:eastAsia="ro-RO"/>
              </w:rPr>
            </w:pPr>
          </w:p>
          <w:p w14:paraId="1737D44C" w14:textId="214D0BC1" w:rsidR="000F4F9F" w:rsidRPr="00DD5E00" w:rsidRDefault="000F4F9F" w:rsidP="000F4F9F">
            <w:pPr>
              <w:jc w:val="both"/>
              <w:rPr>
                <w:lang w:eastAsia="ro-RO"/>
              </w:rPr>
            </w:pPr>
            <w:r w:rsidRPr="00DD5E00">
              <w:rPr>
                <w:lang w:eastAsia="ro-RO"/>
              </w:rPr>
              <w:t>Beneficiarul de fonduri externe nerambursabile primește solicitarea contractantului și analizează situația concretă prezentată de acesta.</w:t>
            </w:r>
          </w:p>
          <w:p w14:paraId="23C8A57C" w14:textId="77777777" w:rsidR="001C1FCF" w:rsidRPr="00DD5E00" w:rsidRDefault="001C1FCF" w:rsidP="000F4F9F">
            <w:pPr>
              <w:jc w:val="both"/>
              <w:rPr>
                <w:lang w:eastAsia="ro-RO"/>
              </w:rPr>
            </w:pPr>
          </w:p>
          <w:p w14:paraId="0EF9616F" w14:textId="63814CA1" w:rsidR="000F4F9F" w:rsidRPr="00DD5E00" w:rsidRDefault="000F4F9F" w:rsidP="000F4F9F">
            <w:pPr>
              <w:jc w:val="both"/>
              <w:rPr>
                <w:lang w:eastAsia="ro-RO"/>
              </w:rPr>
            </w:pPr>
            <w:r w:rsidRPr="00DD5E00">
              <w:rPr>
                <w:lang w:eastAsia="ro-RO"/>
              </w:rPr>
              <w:t>După analiza solicitării dacă sunt respectate condițiile cumulative prevăzute de prezenta ordonanță de urgență la art. 3 alin. (13) beneficiarul va proceda la semnarea unui act adițional la contractul de achiziție, constituind rezerva de implementare a contractului de achiziție, având evidența ajustării solicitate pentru restul rămas de executat.</w:t>
            </w:r>
          </w:p>
          <w:p w14:paraId="72659A5F" w14:textId="77777777" w:rsidR="001C1FCF" w:rsidRPr="00DD5E00" w:rsidRDefault="001C1FCF" w:rsidP="000F4F9F">
            <w:pPr>
              <w:jc w:val="both"/>
              <w:rPr>
                <w:lang w:eastAsia="ro-RO"/>
              </w:rPr>
            </w:pPr>
          </w:p>
          <w:p w14:paraId="72983E63" w14:textId="5990AE63" w:rsidR="000F4F9F" w:rsidRPr="00DD5E00" w:rsidRDefault="000F4F9F" w:rsidP="000F4F9F">
            <w:pPr>
              <w:jc w:val="both"/>
              <w:rPr>
                <w:lang w:eastAsia="ro-RO"/>
              </w:rPr>
            </w:pPr>
            <w:r w:rsidRPr="00DD5E00">
              <w:rPr>
                <w:lang w:eastAsia="ro-RO"/>
              </w:rPr>
              <w:t>Rezerva de implementare pentru reechilibrarea contractelor se constituie inițial</w:t>
            </w:r>
            <w:r w:rsidR="00CE7BEC" w:rsidRPr="00DD5E00">
              <w:rPr>
                <w:lang w:eastAsia="ro-RO"/>
              </w:rPr>
              <w:t>,</w:t>
            </w:r>
            <w:r w:rsidRPr="00DD5E00">
              <w:rPr>
                <w:lang w:eastAsia="ro-RO"/>
              </w:rPr>
              <w:t xml:space="preserve"> </w:t>
            </w:r>
            <w:r w:rsidR="00CE7BEC" w:rsidRPr="00DD5E00">
              <w:rPr>
                <w:lang w:eastAsia="ro-RO"/>
              </w:rPr>
              <w:t xml:space="preserve">la nivelul creșterii indicelui de cost în construcții total prognozat pentru anii 2022 și 2023 de către Comisia Națională de Strategie și Prognoză, respectiv </w:t>
            </w:r>
            <w:r w:rsidRPr="00DD5E00">
              <w:rPr>
                <w:lang w:eastAsia="ro-RO"/>
              </w:rPr>
              <w:t>în procent de până la 23%</w:t>
            </w:r>
            <w:r w:rsidR="00CE7BEC" w:rsidRPr="00DD5E00">
              <w:rPr>
                <w:lang w:eastAsia="ro-RO"/>
              </w:rPr>
              <w:t xml:space="preserve"> </w:t>
            </w:r>
            <w:r w:rsidRPr="00DD5E00">
              <w:rPr>
                <w:lang w:eastAsia="ro-RO"/>
              </w:rPr>
              <w:t xml:space="preserve"> din valoarea restului de executat a contractului de achiziție, la momentul intrării în vigoare a prezentei ordonanțe de urgență și poate fi utilizată numai pentru plata </w:t>
            </w:r>
            <w:r w:rsidRPr="00DD5E00">
              <w:rPr>
                <w:lang w:eastAsia="ro-RO"/>
              </w:rPr>
              <w:lastRenderedPageBreak/>
              <w:t>diferențelor de preț aferente ajustării prețului contractelor de achiziție.</w:t>
            </w:r>
          </w:p>
          <w:p w14:paraId="3719EEEC" w14:textId="77777777" w:rsidR="001C1FCF" w:rsidRPr="00DD5E00" w:rsidRDefault="001C1FCF" w:rsidP="000F4F9F">
            <w:pPr>
              <w:jc w:val="both"/>
              <w:rPr>
                <w:lang w:eastAsia="ro-RO"/>
              </w:rPr>
            </w:pPr>
          </w:p>
          <w:p w14:paraId="559E5B31" w14:textId="78EFB630" w:rsidR="000F4F9F" w:rsidRPr="00DD5E00" w:rsidRDefault="000F4F9F" w:rsidP="000F4F9F">
            <w:pPr>
              <w:jc w:val="both"/>
              <w:rPr>
                <w:lang w:eastAsia="ro-RO"/>
              </w:rPr>
            </w:pPr>
            <w:r w:rsidRPr="00DD5E00">
              <w:rPr>
                <w:lang w:eastAsia="ro-RO"/>
              </w:rPr>
              <w:t>Pe parcursul derulării contractelor, rezerva de implementare destinată plății ajustărilor de preț se poate suplimenta cu procent de până la 10% din valoarea restului de executat a contractului de achiziție, la data solicitării, prin încheierea de acte adiționale la contracte.</w:t>
            </w:r>
          </w:p>
          <w:p w14:paraId="1F2D4334" w14:textId="77777777" w:rsidR="001C1FCF" w:rsidRPr="00DD5E00" w:rsidRDefault="001C1FCF" w:rsidP="000F4F9F">
            <w:pPr>
              <w:jc w:val="both"/>
              <w:rPr>
                <w:lang w:eastAsia="ro-RO"/>
              </w:rPr>
            </w:pPr>
          </w:p>
          <w:p w14:paraId="1ABDCBE0" w14:textId="30B43104" w:rsidR="000F4F9F" w:rsidRPr="00DD5E00" w:rsidRDefault="000F4F9F" w:rsidP="000F4F9F">
            <w:pPr>
              <w:jc w:val="both"/>
              <w:rPr>
                <w:lang w:eastAsia="ro-RO"/>
              </w:rPr>
            </w:pPr>
            <w:r w:rsidRPr="00DD5E00">
              <w:rPr>
                <w:lang w:eastAsia="ro-RO"/>
              </w:rPr>
              <w:t xml:space="preserve">Suplimentarea rezervei de implementare poate avea loc numai dacă au fost efectuate plăți de minim 75% din valoarea rezervei. </w:t>
            </w:r>
          </w:p>
          <w:p w14:paraId="02ECE063" w14:textId="77777777" w:rsidR="00385F76" w:rsidRPr="00DD5E00" w:rsidRDefault="00385F76" w:rsidP="000F4F9F">
            <w:pPr>
              <w:jc w:val="both"/>
              <w:rPr>
                <w:lang w:eastAsia="ro-RO"/>
              </w:rPr>
            </w:pPr>
          </w:p>
          <w:p w14:paraId="6DE3E50B" w14:textId="5F98C4F8" w:rsidR="00CA57AB" w:rsidRPr="00DD5E00" w:rsidRDefault="000F4F9F" w:rsidP="00CA57AB">
            <w:pPr>
              <w:pStyle w:val="ListParagraph"/>
              <w:numPr>
                <w:ilvl w:val="0"/>
                <w:numId w:val="17"/>
              </w:numPr>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A</w:t>
            </w:r>
            <w:r w:rsidR="00CA57AB" w:rsidRPr="00DD5E00">
              <w:rPr>
                <w:rFonts w:ascii="Times New Roman" w:eastAsia="Times New Roman" w:hAnsi="Times New Roman" w:cs="Times New Roman"/>
                <w:lang w:eastAsia="ro-RO"/>
              </w:rPr>
              <w:t>naliză la nivelul contractului de finanțare.</w:t>
            </w:r>
          </w:p>
          <w:p w14:paraId="02C94845" w14:textId="36467E82" w:rsidR="000F4F9F" w:rsidRPr="00DD5E00" w:rsidRDefault="000F4F9F" w:rsidP="000F4F9F">
            <w:pPr>
              <w:jc w:val="both"/>
              <w:rPr>
                <w:lang w:eastAsia="ro-RO"/>
              </w:rPr>
            </w:pPr>
          </w:p>
          <w:p w14:paraId="62FB5D92" w14:textId="2C9F04E4" w:rsidR="00385F76" w:rsidRPr="00DD5E00" w:rsidRDefault="000F4F9F" w:rsidP="000F4F9F">
            <w:pPr>
              <w:jc w:val="both"/>
              <w:rPr>
                <w:lang w:eastAsia="ro-RO"/>
              </w:rPr>
            </w:pPr>
            <w:r w:rsidRPr="00DD5E00">
              <w:rPr>
                <w:lang w:eastAsia="ro-RO"/>
              </w:rPr>
              <w:t>După parcurgerea etapelor prezentate anterior beneficiarul va solicita autorității de management/</w:t>
            </w:r>
            <w:r w:rsidR="004308FD">
              <w:rPr>
                <w:lang w:eastAsia="ro-RO"/>
              </w:rPr>
              <w:t xml:space="preserve">responsabile cu </w:t>
            </w:r>
            <w:r w:rsidRPr="00DD5E00">
              <w:rPr>
                <w:lang w:eastAsia="ro-RO"/>
              </w:rPr>
              <w:t>implementare</w:t>
            </w:r>
            <w:r w:rsidR="004308FD">
              <w:rPr>
                <w:lang w:eastAsia="ro-RO"/>
              </w:rPr>
              <w:t>a</w:t>
            </w:r>
            <w:r w:rsidRPr="00DD5E00">
              <w:rPr>
                <w:lang w:eastAsia="ro-RO"/>
              </w:rPr>
              <w:t xml:space="preserve"> constituirea rezervei de ajustare la contractul de finanțare în limitele prevăzute de prezenta ordonanță de urgență la momentul la </w:t>
            </w:r>
            <w:r w:rsidR="00385F76" w:rsidRPr="00DD5E00">
              <w:rPr>
                <w:lang w:eastAsia="ro-RO"/>
              </w:rPr>
              <w:t>a utilizat cel puțin 75% din valoarea eligibilă alocată prin contractul de finanțare, cu excepția proiectelor finanțate prin PNDR, în cazul căruia procentul se stabilește în conformitate cu procedurile interne aprobate prin ordin al ministrului</w:t>
            </w:r>
            <w:r w:rsidR="00DA0CE7">
              <w:rPr>
                <w:lang w:eastAsia="ro-RO"/>
              </w:rPr>
              <w:t xml:space="preserve"> ministrului agriculturii și dezvoltării rurale</w:t>
            </w:r>
            <w:r w:rsidR="00385F76" w:rsidRPr="00DD5E00">
              <w:rPr>
                <w:lang w:eastAsia="ro-RO"/>
              </w:rPr>
              <w:t xml:space="preserve">. </w:t>
            </w:r>
          </w:p>
          <w:p w14:paraId="3C731B4E" w14:textId="4D0C486D" w:rsidR="00385F76" w:rsidRPr="00DD5E00" w:rsidRDefault="00385F76" w:rsidP="000F4F9F">
            <w:pPr>
              <w:jc w:val="both"/>
              <w:rPr>
                <w:lang w:eastAsia="ro-RO"/>
              </w:rPr>
            </w:pPr>
            <w:r w:rsidRPr="00DD5E00">
              <w:rPr>
                <w:lang w:eastAsia="ro-RO"/>
              </w:rPr>
              <w:t>Pentru proiectele care fac obiectul fazării/etapizării procentul de 75 % se va raporta la valoarea eligibilă a fazei/etapei.</w:t>
            </w:r>
          </w:p>
          <w:p w14:paraId="6B435184" w14:textId="109B1F94" w:rsidR="00385F76" w:rsidRPr="00DD5E00" w:rsidRDefault="00385F76" w:rsidP="000F4F9F">
            <w:pPr>
              <w:jc w:val="both"/>
              <w:rPr>
                <w:lang w:eastAsia="ro-RO"/>
              </w:rPr>
            </w:pPr>
          </w:p>
          <w:p w14:paraId="579390A3" w14:textId="3D74FAEB" w:rsidR="00385F76" w:rsidRPr="00DD5E00" w:rsidRDefault="00385F76" w:rsidP="00385F76">
            <w:pPr>
              <w:jc w:val="both"/>
              <w:rPr>
                <w:lang w:eastAsia="ro-RO"/>
              </w:rPr>
            </w:pPr>
            <w:r w:rsidRPr="00DD5E00">
              <w:rPr>
                <w:lang w:eastAsia="ro-RO"/>
              </w:rPr>
              <w:t>Autoritățile de management ale programelor operaționale au dreptul de a încheia acte adiționale la contractele de finanțare/decizii</w:t>
            </w:r>
            <w:r w:rsidR="00C410A7">
              <w:rPr>
                <w:lang w:eastAsia="ro-RO"/>
              </w:rPr>
              <w:t>le</w:t>
            </w:r>
            <w:r w:rsidRPr="00DD5E00">
              <w:rPr>
                <w:lang w:eastAsia="ro-RO"/>
              </w:rPr>
              <w:t xml:space="preserve"> de finanțare, în limitele aprobate pentru programele operaționale, potrivit art. 12 din O</w:t>
            </w:r>
            <w:r w:rsidR="00F9740E">
              <w:rPr>
                <w:lang w:eastAsia="ro-RO"/>
              </w:rPr>
              <w:t xml:space="preserve">rdonanța de urgență a </w:t>
            </w:r>
            <w:r w:rsidRPr="00DD5E00">
              <w:rPr>
                <w:lang w:eastAsia="ro-RO"/>
              </w:rPr>
              <w:t>G</w:t>
            </w:r>
            <w:r w:rsidR="00F9740E">
              <w:rPr>
                <w:lang w:eastAsia="ro-RO"/>
              </w:rPr>
              <w:t>uvernului nr.</w:t>
            </w:r>
            <w:r w:rsidRPr="00DD5E00">
              <w:rPr>
                <w:lang w:eastAsia="ro-RO"/>
              </w:rPr>
              <w:t xml:space="preserve"> 40/2015 privind gestionarea financiară a fondurilor europene pentru perioada de programare 2014-2020, cu modificările și completările ulterioare, cu încadrarea în creditele de angajament, aprobate anual cu aceasta destinație, prin legile bugetare anuale.</w:t>
            </w:r>
          </w:p>
          <w:p w14:paraId="61EA5EA9" w14:textId="77777777" w:rsidR="001C1FCF" w:rsidRPr="00DD5E00" w:rsidRDefault="001C1FCF" w:rsidP="00385F76">
            <w:pPr>
              <w:jc w:val="both"/>
              <w:rPr>
                <w:lang w:eastAsia="ro-RO"/>
              </w:rPr>
            </w:pPr>
          </w:p>
          <w:p w14:paraId="5320B4E0" w14:textId="773E5208" w:rsidR="00385F76" w:rsidRPr="00DD5E00" w:rsidRDefault="00385F76" w:rsidP="00385F76">
            <w:pPr>
              <w:jc w:val="both"/>
              <w:rPr>
                <w:lang w:eastAsia="ro-RO"/>
              </w:rPr>
            </w:pPr>
            <w:r w:rsidRPr="00DD5E00">
              <w:rPr>
                <w:lang w:eastAsia="ro-RO"/>
              </w:rPr>
              <w:t>Pentru proiectele finanțate prin Programul Național de Dezvoltare Rurală 2014-2020, autoritățile responsabile cu implementarea PNDR sunt autorizate să încheie acte adiționale la contractele de finanțare a căror valoare poate determina depășirea alocării cu până la 130%, a sumelor alocate în euro, la nivel de program operațional din Fondul European pentru Agricultură și Dezvoltare Rurală, cu încadrarea  în creditele de angajament aprobate anual cu această destinație prin legea bugetului în limitele valorii sprijinului public nerambursabil din PNDR 2014-2020, aprobat prin Decizia de punere în aplicare a Comisiei C(2015) 3508, cu modificările și completările ulterioare. În situația în care execuția bugetară este de 100% la nivelul domeniilor de intervenție ale programului operațional cheltuielile efectuate pentru ajustarea de preț se suportă din bugetul de stat, bugetul local sau după caz din bugetul beneficiarului.</w:t>
            </w:r>
          </w:p>
          <w:p w14:paraId="2CDDF88A" w14:textId="77777777" w:rsidR="001C1FCF" w:rsidRPr="00DD5E00" w:rsidRDefault="001C1FCF" w:rsidP="00385F76">
            <w:pPr>
              <w:jc w:val="both"/>
              <w:rPr>
                <w:lang w:eastAsia="ro-RO"/>
              </w:rPr>
            </w:pPr>
          </w:p>
          <w:p w14:paraId="14DB1D5A" w14:textId="77777777" w:rsidR="00385F76" w:rsidRPr="00DD5E00" w:rsidRDefault="00385F76" w:rsidP="00385F76">
            <w:pPr>
              <w:jc w:val="both"/>
              <w:rPr>
                <w:lang w:eastAsia="ro-RO"/>
              </w:rPr>
            </w:pPr>
            <w:r w:rsidRPr="00DD5E00">
              <w:rPr>
                <w:lang w:eastAsia="ro-RO"/>
              </w:rPr>
              <w:t>Rezerva de ajustare a valorii contractului de finanțare, face parte din bugetul proiectului, se evidențiază distinct în bugetul proiectului ca linie bugetară prin grija autorităților de management și se va opera în sistemul informatic MySMIS, acolo unde se impune, iar din aceasta se pot efectua plăți numai pentru finanțarea ajustării de preț necesare contractelor de achiziție care stau la baza implementării proiectelor cu finanțare din fonduri externe nerambursabile.</w:t>
            </w:r>
          </w:p>
          <w:p w14:paraId="2A173687" w14:textId="77777777" w:rsidR="00385F76" w:rsidRPr="00DD5E00" w:rsidRDefault="00385F76" w:rsidP="000F4F9F">
            <w:pPr>
              <w:jc w:val="both"/>
              <w:rPr>
                <w:lang w:eastAsia="ro-RO"/>
              </w:rPr>
            </w:pPr>
          </w:p>
          <w:p w14:paraId="4D183D50" w14:textId="6847ABEE" w:rsidR="00745BB3" w:rsidRPr="00635FA5" w:rsidRDefault="00745BB3" w:rsidP="00745BB3">
            <w:pPr>
              <w:jc w:val="both"/>
              <w:rPr>
                <w:lang w:eastAsia="ro-RO"/>
              </w:rPr>
            </w:pPr>
            <w:r w:rsidRPr="00DD5E00">
              <w:rPr>
                <w:lang w:eastAsia="ro-RO"/>
              </w:rPr>
              <w:t>Pentru a evita aplicarea de reduceri procentuale/corecții financiare, astfel cum sunt acestea prevăzute de O</w:t>
            </w:r>
            <w:r w:rsidR="00B11870">
              <w:rPr>
                <w:lang w:eastAsia="ro-RO"/>
              </w:rPr>
              <w:t>rdonanța de urgență a Guvernului</w:t>
            </w:r>
            <w:r w:rsidRPr="00DD5E00">
              <w:rPr>
                <w:lang w:eastAsia="ro-RO"/>
              </w:rPr>
              <w:t xml:space="preserve"> nr. 66/2011 privind prevenirea, constatarea şi sancţionarea neregulilor apărute în obţinerea şi utilizarea fondurilor europene şi/sau a fondurilor publice naţionale aferente acestora, cu modificările și completările ulterioare, </w:t>
            </w:r>
            <w:r w:rsidR="00B11870">
              <w:rPr>
                <w:lang w:eastAsia="ro-RO"/>
              </w:rPr>
              <w:t xml:space="preserve">în procentele prevăzute </w:t>
            </w:r>
            <w:r w:rsidRPr="00DD5E00">
              <w:rPr>
                <w:lang w:eastAsia="ro-RO"/>
              </w:rPr>
              <w:t>de H</w:t>
            </w:r>
            <w:r w:rsidR="00B11870">
              <w:rPr>
                <w:lang w:eastAsia="ro-RO"/>
              </w:rPr>
              <w:t xml:space="preserve">otărârea </w:t>
            </w:r>
            <w:r w:rsidRPr="00DD5E00">
              <w:rPr>
                <w:lang w:eastAsia="ro-RO"/>
              </w:rPr>
              <w:t>G</w:t>
            </w:r>
            <w:r w:rsidR="00B11870">
              <w:rPr>
                <w:lang w:eastAsia="ro-RO"/>
              </w:rPr>
              <w:t>uvernului</w:t>
            </w:r>
            <w:r w:rsidRPr="00DD5E00">
              <w:rPr>
                <w:lang w:eastAsia="ro-RO"/>
              </w:rPr>
              <w:t xml:space="preserve"> nr. 519/2014</w:t>
            </w:r>
            <w:r w:rsidRPr="00635FA5">
              <w:rPr>
                <w:lang w:eastAsia="ro-RO"/>
              </w:rPr>
              <w:t xml:space="preserve"> </w:t>
            </w:r>
            <w:r w:rsidRPr="00DD5E00">
              <w:rPr>
                <w:lang w:eastAsia="ro-RO"/>
              </w:rPr>
              <w:t>privind stabilirea ratelor aferente reducerilor procentuale/corecţiilor financiare aplicabile pentru abaterile prevăzute în anexa la O</w:t>
            </w:r>
            <w:r w:rsidR="00B11870">
              <w:rPr>
                <w:lang w:eastAsia="ro-RO"/>
              </w:rPr>
              <w:t>rdonanța de urgență a Guvernului</w:t>
            </w:r>
            <w:r w:rsidRPr="00DD5E00">
              <w:rPr>
                <w:lang w:eastAsia="ro-RO"/>
              </w:rPr>
              <w:t xml:space="preserve"> nr. 66/2011, </w:t>
            </w:r>
            <w:r w:rsidR="00635FA5" w:rsidRPr="00DD5E00">
              <w:rPr>
                <w:lang w:eastAsia="ro-RO"/>
              </w:rPr>
              <w:t>beneficiarii</w:t>
            </w:r>
            <w:r w:rsidRPr="00DD5E00">
              <w:rPr>
                <w:lang w:eastAsia="ro-RO"/>
              </w:rPr>
              <w:t xml:space="preserve"> vor analiza și aproba ajustarea prețurile pentru acoperirea costurilor pe baza cărora s-a fundamentat prețul contractului, în baza solicitării contractanților, pentru restul rămas de executat, fără a schimba </w:t>
            </w:r>
            <w:r w:rsidRPr="00635FA5">
              <w:rPr>
                <w:lang w:eastAsia="ro-RO"/>
              </w:rPr>
              <w:t>caracterul general al contractului ca urmare a unor circumstanțe neprevăzute.</w:t>
            </w:r>
          </w:p>
          <w:p w14:paraId="35F4F497" w14:textId="77777777" w:rsidR="00745BB3" w:rsidRPr="00635FA5" w:rsidRDefault="00745BB3" w:rsidP="00745BB3">
            <w:pPr>
              <w:jc w:val="both"/>
              <w:rPr>
                <w:lang w:eastAsia="ro-RO"/>
              </w:rPr>
            </w:pPr>
          </w:p>
          <w:p w14:paraId="1158061F" w14:textId="2E205389" w:rsidR="00745BB3" w:rsidRPr="00635FA5" w:rsidRDefault="00745BB3" w:rsidP="00745BB3">
            <w:pPr>
              <w:jc w:val="both"/>
              <w:rPr>
                <w:lang w:eastAsia="ro-RO"/>
              </w:rPr>
            </w:pPr>
            <w:r w:rsidRPr="00635FA5">
              <w:rPr>
                <w:lang w:eastAsia="ro-RO"/>
              </w:rPr>
              <w:t xml:space="preserve">Noțiunea de circumstanțe neprevăzute se referă la situațiile care nu puteau fi anticipate </w:t>
            </w:r>
            <w:r w:rsidR="00740823" w:rsidRPr="00635FA5">
              <w:rPr>
                <w:lang w:eastAsia="ro-RO"/>
              </w:rPr>
              <w:t xml:space="preserve">în ciuda pregătirii cu </w:t>
            </w:r>
            <w:r w:rsidRPr="00635FA5">
              <w:rPr>
                <w:lang w:eastAsia="ro-RO"/>
              </w:rPr>
              <w:t>diligență a procedurii de achiziție de către autoritatea/entitatea contractantă, luând în considerare mijloacele disponibile, natura și caracteristicile proiectului concret, bunele practici din domeniul în cauză și necesitatea de a asigura o relație corespunzătoare între valoarea previzionată și cea reală.</w:t>
            </w:r>
          </w:p>
          <w:p w14:paraId="78EF8EC0" w14:textId="77777777" w:rsidR="00745BB3" w:rsidRPr="00635FA5" w:rsidRDefault="00745BB3" w:rsidP="00745BB3">
            <w:pPr>
              <w:jc w:val="both"/>
              <w:rPr>
                <w:lang w:eastAsia="ro-RO"/>
              </w:rPr>
            </w:pPr>
          </w:p>
          <w:p w14:paraId="1944647F" w14:textId="2D1C8188" w:rsidR="00745BB3" w:rsidRPr="00635FA5" w:rsidRDefault="00AF52C7" w:rsidP="00745BB3">
            <w:pPr>
              <w:jc w:val="both"/>
              <w:rPr>
                <w:lang w:eastAsia="ro-RO"/>
              </w:rPr>
            </w:pPr>
            <w:r w:rsidRPr="00635FA5">
              <w:rPr>
                <w:lang w:eastAsia="ro-RO"/>
              </w:rPr>
              <w:t>De altfel,</w:t>
            </w:r>
            <w:r w:rsidR="00745BB3" w:rsidRPr="00635FA5">
              <w:rPr>
                <w:lang w:eastAsia="ro-RO"/>
              </w:rPr>
              <w:t xml:space="preserve"> articolul 1271 din Codul Civil </w:t>
            </w:r>
            <w:r w:rsidRPr="00635FA5">
              <w:rPr>
                <w:lang w:eastAsia="ro-RO"/>
              </w:rPr>
              <w:t xml:space="preserve">reglementează </w:t>
            </w:r>
            <w:r w:rsidR="00745BB3" w:rsidRPr="00635FA5">
              <w:rPr>
                <w:lang w:eastAsia="ro-RO"/>
              </w:rPr>
              <w:t>noțiunea de impreviziune</w:t>
            </w:r>
            <w:r w:rsidRPr="00635FA5">
              <w:rPr>
                <w:lang w:eastAsia="ro-RO"/>
              </w:rPr>
              <w:t>,</w:t>
            </w:r>
            <w:r w:rsidR="00745BB3" w:rsidRPr="00635FA5">
              <w:rPr>
                <w:lang w:eastAsia="ro-RO"/>
              </w:rPr>
              <w:t xml:space="preserve"> după cum urmează:</w:t>
            </w:r>
          </w:p>
          <w:p w14:paraId="6FD022A4" w14:textId="77777777" w:rsidR="00745BB3" w:rsidRPr="00635FA5" w:rsidRDefault="00745BB3" w:rsidP="00745BB3">
            <w:pPr>
              <w:jc w:val="both"/>
              <w:rPr>
                <w:lang w:eastAsia="ro-RO"/>
              </w:rPr>
            </w:pPr>
            <w:r w:rsidRPr="00635FA5">
              <w:rPr>
                <w:lang w:eastAsia="ro-RO"/>
              </w:rPr>
              <w:t xml:space="preserve">„(1) Părţile sunt ţinute să îşi execute obligaţiile, chiar dacă executarea lor a devenit mai oneroasă, fie datorită creşterii costurilor executării propriei obligaţii, fie datorită scăderii valorii contraprestaţiei. </w:t>
            </w:r>
          </w:p>
          <w:p w14:paraId="1ECDEADC" w14:textId="77777777" w:rsidR="00745BB3" w:rsidRPr="00635FA5" w:rsidRDefault="00745BB3" w:rsidP="00745BB3">
            <w:pPr>
              <w:jc w:val="both"/>
              <w:rPr>
                <w:lang w:eastAsia="ro-RO"/>
              </w:rPr>
            </w:pPr>
            <w:r w:rsidRPr="00635FA5">
              <w:rPr>
                <w:lang w:eastAsia="ro-RO"/>
              </w:rPr>
              <w:t xml:space="preserve">(2) Cu toate acestea, dacă executarea contractului a devenit excesiv de oneroasă datorită unei schimbări excepţionale a împrejurărilor care ar face vădit injustă obligarea debitorului la executarea obligaţiei, instanţa poate să dispună: </w:t>
            </w:r>
          </w:p>
          <w:p w14:paraId="5CB7C85F" w14:textId="77777777" w:rsidR="00745BB3" w:rsidRPr="00635FA5" w:rsidRDefault="00745BB3" w:rsidP="00745BB3">
            <w:pPr>
              <w:jc w:val="both"/>
              <w:rPr>
                <w:lang w:eastAsia="ro-RO"/>
              </w:rPr>
            </w:pPr>
            <w:r w:rsidRPr="00635FA5">
              <w:rPr>
                <w:lang w:eastAsia="ro-RO"/>
              </w:rPr>
              <w:t xml:space="preserve">a) adaptarea contractului, pentru a distribui în mod echitabil între părţi pierderile şi beneficiile ce rezultă din schimbarea împrejurărilor; </w:t>
            </w:r>
          </w:p>
          <w:p w14:paraId="118EC52C" w14:textId="77777777" w:rsidR="00745BB3" w:rsidRPr="00635FA5" w:rsidRDefault="00745BB3" w:rsidP="00745BB3">
            <w:pPr>
              <w:jc w:val="both"/>
              <w:rPr>
                <w:lang w:eastAsia="ro-RO"/>
              </w:rPr>
            </w:pPr>
            <w:r w:rsidRPr="00635FA5">
              <w:rPr>
                <w:lang w:eastAsia="ro-RO"/>
              </w:rPr>
              <w:t xml:space="preserve">b) încetarea contractului, la momentul şi în condiţiile pe care le stabileşte. </w:t>
            </w:r>
          </w:p>
          <w:p w14:paraId="2D2EE89A" w14:textId="77777777" w:rsidR="00745BB3" w:rsidRPr="00635FA5" w:rsidRDefault="00745BB3" w:rsidP="00745BB3">
            <w:pPr>
              <w:jc w:val="both"/>
              <w:rPr>
                <w:lang w:eastAsia="ro-RO"/>
              </w:rPr>
            </w:pPr>
            <w:r w:rsidRPr="00635FA5">
              <w:rPr>
                <w:lang w:eastAsia="ro-RO"/>
              </w:rPr>
              <w:t xml:space="preserve">(3) Dispoziţiile alin. (2) sunt aplicabile numai dacă: </w:t>
            </w:r>
          </w:p>
          <w:p w14:paraId="7B9E1796" w14:textId="77777777" w:rsidR="00745BB3" w:rsidRPr="00635FA5" w:rsidRDefault="00745BB3" w:rsidP="00745BB3">
            <w:pPr>
              <w:jc w:val="both"/>
              <w:rPr>
                <w:lang w:eastAsia="ro-RO"/>
              </w:rPr>
            </w:pPr>
            <w:r w:rsidRPr="00635FA5">
              <w:rPr>
                <w:lang w:eastAsia="ro-RO"/>
              </w:rPr>
              <w:t xml:space="preserve">a) schimbarea împrejurărilor a intervenit după încheierea contractului; </w:t>
            </w:r>
          </w:p>
          <w:p w14:paraId="7AFBC5CE" w14:textId="77777777" w:rsidR="00745BB3" w:rsidRPr="00635FA5" w:rsidRDefault="00745BB3" w:rsidP="00745BB3">
            <w:pPr>
              <w:jc w:val="both"/>
              <w:rPr>
                <w:lang w:eastAsia="ro-RO"/>
              </w:rPr>
            </w:pPr>
            <w:r w:rsidRPr="00635FA5">
              <w:rPr>
                <w:lang w:eastAsia="ro-RO"/>
              </w:rPr>
              <w:t xml:space="preserve">b) schimbarea împrejurărilor, precum şi întinderea acesteia nu au fost şi nici nu puteau fi avute în vedere de către debitor, în mod rezonabil, în momentul încheierii contractului; </w:t>
            </w:r>
          </w:p>
          <w:p w14:paraId="27E07AD4" w14:textId="77777777" w:rsidR="00745BB3" w:rsidRPr="00635FA5" w:rsidRDefault="00745BB3" w:rsidP="00745BB3">
            <w:pPr>
              <w:jc w:val="both"/>
              <w:rPr>
                <w:lang w:eastAsia="ro-RO"/>
              </w:rPr>
            </w:pPr>
            <w:r w:rsidRPr="00635FA5">
              <w:rPr>
                <w:lang w:eastAsia="ro-RO"/>
              </w:rPr>
              <w:t xml:space="preserve">c) debitorul nu şi-a asumat riscul schimbării împrejurărilor şi nici nu putea fi în mod rezonabil considerat că şi-ar fi asumat acest risc; </w:t>
            </w:r>
          </w:p>
          <w:p w14:paraId="69D4EEC1" w14:textId="77777777" w:rsidR="00745BB3" w:rsidRPr="00635FA5" w:rsidRDefault="00745BB3" w:rsidP="00745BB3">
            <w:pPr>
              <w:jc w:val="both"/>
              <w:rPr>
                <w:lang w:eastAsia="ro-RO"/>
              </w:rPr>
            </w:pPr>
            <w:r w:rsidRPr="00635FA5">
              <w:rPr>
                <w:lang w:eastAsia="ro-RO"/>
              </w:rPr>
              <w:t>d) debitorul a încercat, într-un termen rezonabil şi cu bună-credinţă, negocierea adaptării rezonabile şi echitabile a contractului.”</w:t>
            </w:r>
          </w:p>
          <w:p w14:paraId="28D856DA" w14:textId="77777777" w:rsidR="00745BB3" w:rsidRPr="00DD5E00" w:rsidRDefault="00745BB3" w:rsidP="00745BB3">
            <w:pPr>
              <w:jc w:val="both"/>
              <w:rPr>
                <w:lang w:eastAsia="ro-RO"/>
              </w:rPr>
            </w:pPr>
            <w:r w:rsidRPr="00635FA5">
              <w:rPr>
                <w:lang w:eastAsia="ro-RO"/>
              </w:rPr>
              <w:t xml:space="preserve"> </w:t>
            </w:r>
          </w:p>
          <w:p w14:paraId="0E88C2E3" w14:textId="77777777" w:rsidR="00745BB3" w:rsidRPr="00DD5E00" w:rsidRDefault="00745BB3" w:rsidP="00745BB3">
            <w:pPr>
              <w:jc w:val="both"/>
              <w:rPr>
                <w:lang w:eastAsia="ro-RO"/>
              </w:rPr>
            </w:pPr>
            <w:r w:rsidRPr="00DD5E00">
              <w:rPr>
                <w:lang w:eastAsia="ro-RO"/>
              </w:rPr>
              <w:t>Majorarea prețului materiilor prime, materialelor de construcții, echipamentelor, dotărilor, utilajelor, energiei, combustibilului etc., precum si perturbările majore înregistrate în aprovizionare, în contextul crizei mondiale în domeniu și al conflictului aflat în imediata apropriere a granițelor României, se circumscriu condițiilor excepționale enunțate mai sus și ar fi afectat în aceeași măsură orice operator economic care ar fi fost declarat câștigător.</w:t>
            </w:r>
          </w:p>
          <w:p w14:paraId="2FA94234" w14:textId="77777777" w:rsidR="00745BB3" w:rsidRPr="00DD5E00" w:rsidRDefault="00745BB3" w:rsidP="00745BB3">
            <w:pPr>
              <w:jc w:val="both"/>
              <w:rPr>
                <w:lang w:eastAsia="ro-RO"/>
              </w:rPr>
            </w:pPr>
          </w:p>
          <w:p w14:paraId="0B5D802A" w14:textId="6581EBD1" w:rsidR="00745BB3" w:rsidRPr="00DD5E00" w:rsidRDefault="00745BB3" w:rsidP="00745BB3">
            <w:pPr>
              <w:jc w:val="both"/>
              <w:rPr>
                <w:lang w:eastAsia="ro-RO"/>
              </w:rPr>
            </w:pPr>
            <w:r w:rsidRPr="00DD5E00">
              <w:rPr>
                <w:lang w:eastAsia="ro-RO"/>
              </w:rPr>
              <w:t xml:space="preserve">Efectele situației generate de creșterile neprevizionate ale prețurilor la materiale de construcții, utilaje, dotări, energie și carburant și cele generate de războiul din Ucraina asupra aprovizionării cu materii prime/materiale de construcții esențiale, pun în pericol investițiile finanțate prin proiecte europene prin blocarea contractelor de lucrări sau/și a celor de produse aflate în strânsă legătură cu execuția lucrărilor aflate în diferite etape de implementare. Constructorii sunt în imposibilitatea de a susține continuarea lucrărilor la noile prețuri după ce pe termen scurt au suportat deja modificările de preț în context pandemic iar pe termen mediu și lung nu se poate determina cu exactitate cât va dura conflictul din Ucraina și efectele </w:t>
            </w:r>
            <w:r w:rsidR="00740823" w:rsidRPr="00DD5E00">
              <w:rPr>
                <w:lang w:eastAsia="ro-RO"/>
              </w:rPr>
              <w:t>economice global</w:t>
            </w:r>
            <w:r w:rsidRPr="00DD5E00">
              <w:rPr>
                <w:lang w:eastAsia="ro-RO"/>
              </w:rPr>
              <w:t>e.</w:t>
            </w:r>
            <w:r w:rsidR="00740823" w:rsidRPr="00DD5E00">
              <w:rPr>
                <w:lang w:eastAsia="ro-RO"/>
              </w:rPr>
              <w:t xml:space="preserve"> La acest moment se resimt cumulat atât efectele crizei sanitare, cât și cele ale războiului în curs.</w:t>
            </w:r>
            <w:r w:rsidRPr="00DD5E00">
              <w:rPr>
                <w:lang w:eastAsia="ro-RO"/>
              </w:rPr>
              <w:t xml:space="preserve"> </w:t>
            </w:r>
            <w:r w:rsidR="00740823" w:rsidRPr="00DD5E00">
              <w:rPr>
                <w:lang w:eastAsia="ro-RO"/>
              </w:rPr>
              <w:t>De aceea, c</w:t>
            </w:r>
            <w:r w:rsidRPr="00DD5E00">
              <w:rPr>
                <w:lang w:eastAsia="ro-RO"/>
              </w:rPr>
              <w:t>ontinuarea contractelor în condițiile inițiale ar putea conduce la intrarea în insolvență/faliment a societăților din domeniu.</w:t>
            </w:r>
          </w:p>
          <w:p w14:paraId="1D0A725F" w14:textId="77777777" w:rsidR="00745BB3" w:rsidRPr="00DD5E00" w:rsidRDefault="00745BB3" w:rsidP="00745BB3">
            <w:pPr>
              <w:jc w:val="both"/>
              <w:rPr>
                <w:lang w:eastAsia="ro-RO"/>
              </w:rPr>
            </w:pPr>
          </w:p>
          <w:p w14:paraId="34D2794F" w14:textId="77777777" w:rsidR="00745BB3" w:rsidRPr="00DD5E00" w:rsidRDefault="00745BB3" w:rsidP="00745BB3">
            <w:pPr>
              <w:jc w:val="both"/>
              <w:rPr>
                <w:lang w:eastAsia="ro-RO"/>
              </w:rPr>
            </w:pPr>
            <w:r w:rsidRPr="00DD5E00">
              <w:rPr>
                <w:lang w:eastAsia="ro-RO"/>
              </w:rPr>
              <w:t>Având în vedere evoluția situației geopolitice globale din ultimele luni, cu efecte semnificative asupra sectorului investițiilor publice la toate nivelurile, situația de impredictibilitate accentuată a pieței prezentată mai sus și necesitatea continuării proiectelor europene în bune condiții, se impune adoptarea de către Guvern a unor măsuri urgente pentru a contracara efectele evenimentelor generatoare de criză.</w:t>
            </w:r>
          </w:p>
          <w:p w14:paraId="09849A87" w14:textId="77777777" w:rsidR="00745BB3" w:rsidRPr="00DD5E00" w:rsidRDefault="00745BB3" w:rsidP="00745BB3">
            <w:pPr>
              <w:jc w:val="both"/>
              <w:rPr>
                <w:lang w:eastAsia="ro-RO"/>
              </w:rPr>
            </w:pPr>
          </w:p>
          <w:p w14:paraId="44D425BC" w14:textId="33B029DE" w:rsidR="00745BB3" w:rsidRPr="00DD5E00" w:rsidRDefault="00745BB3" w:rsidP="00745BB3">
            <w:pPr>
              <w:autoSpaceDE w:val="0"/>
              <w:autoSpaceDN w:val="0"/>
              <w:adjustRightInd w:val="0"/>
              <w:spacing w:after="120"/>
              <w:jc w:val="both"/>
              <w:rPr>
                <w:lang w:eastAsia="ro-RO"/>
              </w:rPr>
            </w:pPr>
            <w:r w:rsidRPr="00DD5E00">
              <w:rPr>
                <w:lang w:eastAsia="ro-RO"/>
              </w:rPr>
              <w:t xml:space="preserve">În condițiile creșterilor semnificative ale prețurilor, care se preconizează că vor continua în paralel cu perturbările în aprovizionarea cu materii prime/materiale de construcții/dotări/utilaje și care sunt procurate cu preponderență prin import, măsurile trebuie să asigure continuarea și finalizarea investițiilor publice, să privească toate elementele de cost care sunt afectate de evenimentele menționate și să permită realizarea </w:t>
            </w:r>
            <w:r w:rsidRPr="00DD5E00">
              <w:rPr>
                <w:lang w:eastAsia="ro-RO"/>
              </w:rPr>
              <w:lastRenderedPageBreak/>
              <w:t>obiectivelor generale prevăzute prin programele finanțate din fonduri nerambursabile</w:t>
            </w:r>
            <w:r w:rsidR="009F75F0" w:rsidRPr="00DD5E00">
              <w:rPr>
                <w:lang w:eastAsia="ro-RO"/>
              </w:rPr>
              <w:t>.</w:t>
            </w:r>
          </w:p>
          <w:p w14:paraId="1E72937C" w14:textId="5A9EAED7" w:rsidR="00FB45DC" w:rsidRPr="002F7F98" w:rsidRDefault="009377B6" w:rsidP="008838DB">
            <w:pPr>
              <w:autoSpaceDE w:val="0"/>
              <w:autoSpaceDN w:val="0"/>
              <w:adjustRightInd w:val="0"/>
              <w:spacing w:after="120"/>
              <w:jc w:val="both"/>
              <w:rPr>
                <w:lang w:eastAsia="ro-RO"/>
              </w:rPr>
            </w:pPr>
            <w:r w:rsidRPr="009377B6">
              <w:rPr>
                <w:lang w:eastAsia="ro-RO"/>
              </w:rPr>
              <w:t>Prezentul act normativ</w:t>
            </w:r>
            <w:r>
              <w:rPr>
                <w:lang w:eastAsia="ro-RO"/>
              </w:rPr>
              <w:t xml:space="preserve"> prin implementarea reglementărilor conținute va duce la deblocarea proiectelor finanțate din fonduri europene nerambursabile, ceea ce va face posibilă realizarea obiectivelor pentru care </w:t>
            </w:r>
            <w:r w:rsidR="002F7F98">
              <w:rPr>
                <w:lang w:eastAsia="ro-RO"/>
              </w:rPr>
              <w:t>au fost aprobate proiectele și va contribui la creșterea gradului de absorbție a fondurilor europene.</w:t>
            </w:r>
            <w:r w:rsidRPr="009377B6">
              <w:rPr>
                <w:lang w:eastAsia="ro-RO"/>
              </w:rPr>
              <w:t xml:space="preserve"> </w:t>
            </w:r>
            <w:r w:rsidR="00FB45DC" w:rsidRPr="009377B6">
              <w:rPr>
                <w:lang w:eastAsia="ro-RO"/>
              </w:rPr>
              <w:t xml:space="preserve">   </w:t>
            </w:r>
          </w:p>
          <w:p w14:paraId="45638867" w14:textId="6FCF19DD" w:rsidR="002F7F98" w:rsidRPr="002F7F98" w:rsidRDefault="00BE6403" w:rsidP="002F7F98">
            <w:pPr>
              <w:autoSpaceDE w:val="0"/>
              <w:autoSpaceDN w:val="0"/>
              <w:adjustRightInd w:val="0"/>
              <w:spacing w:after="120"/>
              <w:jc w:val="both"/>
              <w:rPr>
                <w:lang w:eastAsia="ro-RO"/>
              </w:rPr>
            </w:pPr>
            <w:r w:rsidRPr="00635FA5">
              <w:rPr>
                <w:lang w:eastAsia="ro-RO"/>
              </w:rPr>
              <w:t>Nefinalizarea proiectelor europene în derulare, reducerea gradului de absorbție, stagnare economică, falimentul/insolvența operatorilor economici.</w:t>
            </w:r>
          </w:p>
          <w:p w14:paraId="3B38DF19" w14:textId="295C90D5" w:rsidR="00BE6403" w:rsidRPr="00635FA5" w:rsidRDefault="002F7F98" w:rsidP="002F7F98">
            <w:pPr>
              <w:autoSpaceDE w:val="0"/>
              <w:autoSpaceDN w:val="0"/>
              <w:adjustRightInd w:val="0"/>
              <w:spacing w:after="120"/>
              <w:jc w:val="both"/>
              <w:rPr>
                <w:lang w:eastAsia="ro-RO"/>
              </w:rPr>
            </w:pPr>
            <w:r w:rsidRPr="002F7F98">
              <w:rPr>
                <w:lang w:eastAsia="ro-RO"/>
              </w:rPr>
              <w:t>Având în vedere că elementele sus menționate vizează interesul public și strategic, constituie o situație de urgență și extraordinară, a cărei reglementare nu poate fi amânată, se impune adoptarea de măsuri imediate pe calea ordonanței de urgență pentru deblocarea proiectelor de infrastructură finanțate din fonduri externe nerambursabile</w:t>
            </w:r>
            <w:r>
              <w:rPr>
                <w:lang w:eastAsia="ro-RO"/>
              </w:rPr>
              <w:t xml:space="preserve">. </w:t>
            </w:r>
            <w:r w:rsidR="00FA63A2" w:rsidRPr="00635FA5">
              <w:rPr>
                <w:lang w:eastAsia="ro-RO"/>
              </w:rPr>
              <w:t>Nereglementarea în regim de urgență va conduce la imposibilitatea de finalizare</w:t>
            </w:r>
            <w:r w:rsidR="00BE6403" w:rsidRPr="00635FA5">
              <w:rPr>
                <w:lang w:eastAsia="ro-RO"/>
              </w:rPr>
              <w:t xml:space="preserve"> în perioada de programare a proiectelor europene în derulare,</w:t>
            </w:r>
            <w:r w:rsidR="00FA63A2" w:rsidRPr="00635FA5">
              <w:rPr>
                <w:lang w:eastAsia="ro-RO"/>
              </w:rPr>
              <w:t xml:space="preserve"> la</w:t>
            </w:r>
            <w:r w:rsidR="00BE6403" w:rsidRPr="00635FA5">
              <w:rPr>
                <w:lang w:eastAsia="ro-RO"/>
              </w:rPr>
              <w:t xml:space="preserve"> riscul pierderii fondurilor</w:t>
            </w:r>
            <w:r w:rsidR="00FA63A2" w:rsidRPr="00635FA5">
              <w:rPr>
                <w:lang w:eastAsia="ro-RO"/>
              </w:rPr>
              <w:t xml:space="preserve"> europene alocate și la falimentarea unui sector important din economia națională care va greva semnificativ bugetul național.</w:t>
            </w:r>
          </w:p>
          <w:p w14:paraId="33AE17B1" w14:textId="08EE4739" w:rsidR="00FA63A2" w:rsidRPr="00DD5E00" w:rsidRDefault="00FB45DC" w:rsidP="008838DB">
            <w:pPr>
              <w:autoSpaceDE w:val="0"/>
              <w:autoSpaceDN w:val="0"/>
              <w:adjustRightInd w:val="0"/>
              <w:spacing w:after="120"/>
              <w:jc w:val="both"/>
              <w:rPr>
                <w:lang w:eastAsia="ro-RO"/>
              </w:rPr>
            </w:pPr>
            <w:r w:rsidRPr="00DD5E00">
              <w:rPr>
                <w:lang w:eastAsia="ro-RO"/>
              </w:rPr>
              <w:t xml:space="preserve">  </w:t>
            </w:r>
            <w:r w:rsidR="002F7F98" w:rsidRPr="002F7F98">
              <w:rPr>
                <w:lang w:eastAsia="ro-RO"/>
              </w:rPr>
              <w:t xml:space="preserve">În lipsa adoptării unor măsuri de </w:t>
            </w:r>
            <w:r w:rsidR="002F7F98">
              <w:rPr>
                <w:lang w:eastAsia="ro-RO"/>
              </w:rPr>
              <w:t>u</w:t>
            </w:r>
            <w:r w:rsidR="002F7F98" w:rsidRPr="002F7F98">
              <w:rPr>
                <w:lang w:eastAsia="ro-RO"/>
              </w:rPr>
              <w:t>rgență p</w:t>
            </w:r>
            <w:r w:rsidR="00C3020C" w:rsidRPr="002F7F98">
              <w:rPr>
                <w:lang w:eastAsia="ro-RO"/>
              </w:rPr>
              <w:t>ă</w:t>
            </w:r>
            <w:r w:rsidR="00C3020C" w:rsidRPr="00635FA5">
              <w:rPr>
                <w:lang w:eastAsia="ro-RO"/>
              </w:rPr>
              <w:t xml:space="preserve">rțile contractante </w:t>
            </w:r>
            <w:r w:rsidR="00793546">
              <w:rPr>
                <w:lang w:eastAsia="ro-RO"/>
              </w:rPr>
              <w:t>se află în imposibilitatea de</w:t>
            </w:r>
            <w:r w:rsidR="00C3020C" w:rsidRPr="00635FA5">
              <w:rPr>
                <w:lang w:eastAsia="ro-RO"/>
              </w:rPr>
              <w:t xml:space="preserve"> a interveni în soluționarea problemelor identificate, probleme ce afectează întreaga industrie, atât la nivel public, cât și la nivel de mediu privat. </w:t>
            </w:r>
            <w:r w:rsidR="00FA63A2" w:rsidRPr="00635FA5">
              <w:rPr>
                <w:lang w:eastAsia="ro-RO"/>
              </w:rPr>
              <w:t>Guvernul deține prerogativ</w:t>
            </w:r>
            <w:r w:rsidR="00793546">
              <w:rPr>
                <w:lang w:eastAsia="ro-RO"/>
              </w:rPr>
              <w:t>e</w:t>
            </w:r>
            <w:r w:rsidR="00FA63A2" w:rsidRPr="00635FA5">
              <w:rPr>
                <w:lang w:eastAsia="ro-RO"/>
              </w:rPr>
              <w:t xml:space="preserve"> de putere publică astfel încât să reglementeze la nivel de ordonanță</w:t>
            </w:r>
            <w:r w:rsidR="00793546">
              <w:rPr>
                <w:lang w:eastAsia="ro-RO"/>
              </w:rPr>
              <w:t xml:space="preserve"> de urgență</w:t>
            </w:r>
            <w:r w:rsidR="00FA63A2" w:rsidRPr="00635FA5">
              <w:rPr>
                <w:lang w:eastAsia="ro-RO"/>
              </w:rPr>
              <w:t xml:space="preserve"> aspecte sensibile avute în vedere, fiind administratorul bugetului de stat din care vor fi suportate cheltuielile generate</w:t>
            </w:r>
            <w:r w:rsidR="00C3020C" w:rsidRPr="00635FA5">
              <w:rPr>
                <w:lang w:eastAsia="ro-RO"/>
              </w:rPr>
              <w:t>.</w:t>
            </w:r>
            <w:r w:rsidR="00FA63A2" w:rsidRPr="00635FA5">
              <w:rPr>
                <w:lang w:eastAsia="ro-RO"/>
              </w:rPr>
              <w:t xml:space="preserve"> </w:t>
            </w:r>
          </w:p>
          <w:p w14:paraId="4238D1EB" w14:textId="4193FE10" w:rsidR="00223491" w:rsidRPr="00DD5E00" w:rsidRDefault="00223491" w:rsidP="008838DB">
            <w:pPr>
              <w:autoSpaceDE w:val="0"/>
              <w:autoSpaceDN w:val="0"/>
              <w:adjustRightInd w:val="0"/>
              <w:spacing w:after="120"/>
              <w:jc w:val="both"/>
              <w:rPr>
                <w:b/>
                <w:lang w:eastAsia="ro-RO"/>
              </w:rPr>
            </w:pPr>
            <w:r w:rsidRPr="00DD5E00">
              <w:rPr>
                <w:b/>
                <w:lang w:eastAsia="ro-RO"/>
              </w:rPr>
              <w:t>2.3 Schimbări preconizate</w:t>
            </w:r>
          </w:p>
          <w:p w14:paraId="1FF674CE" w14:textId="3EC1263B" w:rsidR="00C3020C" w:rsidRDefault="00C3020C" w:rsidP="008838DB">
            <w:pPr>
              <w:autoSpaceDE w:val="0"/>
              <w:autoSpaceDN w:val="0"/>
              <w:adjustRightInd w:val="0"/>
              <w:spacing w:after="120"/>
              <w:jc w:val="both"/>
              <w:rPr>
                <w:lang w:eastAsia="ro-RO"/>
              </w:rPr>
            </w:pPr>
            <w:r w:rsidRPr="00635FA5">
              <w:rPr>
                <w:lang w:eastAsia="ro-RO"/>
              </w:rPr>
              <w:t xml:space="preserve">Prezenta ordonanță de urgență pune la dispoziția părților contractante o metodă de reechilibrare a contractelor de lucrări și/sau a celor de produse </w:t>
            </w:r>
            <w:r w:rsidR="00AF52C7" w:rsidRPr="00635FA5">
              <w:rPr>
                <w:lang w:eastAsia="ro-RO"/>
              </w:rPr>
              <w:t xml:space="preserve"> și servicii </w:t>
            </w:r>
            <w:r w:rsidRPr="00635FA5">
              <w:rPr>
                <w:lang w:eastAsia="ro-RO"/>
              </w:rPr>
              <w:t xml:space="preserve">aflate în strânsă legătură cu execuția lucrărilor, afectate de contextul pandemic și de </w:t>
            </w:r>
            <w:r w:rsidR="00A902E1">
              <w:rPr>
                <w:lang w:eastAsia="ro-RO"/>
              </w:rPr>
              <w:t xml:space="preserve">conflictul militar din regiunea Mării Negre </w:t>
            </w:r>
            <w:r w:rsidR="005A2CFB" w:rsidRPr="00635FA5">
              <w:rPr>
                <w:lang w:eastAsia="ro-RO"/>
              </w:rPr>
              <w:t>suprapuse pe o creștere de prețuri în sectorul de energie</w:t>
            </w:r>
            <w:r w:rsidRPr="00635FA5">
              <w:rPr>
                <w:lang w:eastAsia="ro-RO"/>
              </w:rPr>
              <w:t>.</w:t>
            </w:r>
          </w:p>
          <w:p w14:paraId="035DBC8B" w14:textId="025870F2" w:rsidR="0084215A" w:rsidRPr="0084215A" w:rsidRDefault="0084215A" w:rsidP="0084215A">
            <w:pPr>
              <w:autoSpaceDE w:val="0"/>
              <w:autoSpaceDN w:val="0"/>
              <w:adjustRightInd w:val="0"/>
              <w:spacing w:after="120"/>
              <w:jc w:val="both"/>
              <w:rPr>
                <w:lang w:eastAsia="ro-RO"/>
              </w:rPr>
            </w:pPr>
            <w:r>
              <w:rPr>
                <w:lang w:eastAsia="ro-RO"/>
              </w:rPr>
              <w:t>În acest sens, prin prezentul act normativ se</w:t>
            </w:r>
            <w:r w:rsidRPr="0084215A">
              <w:rPr>
                <w:lang w:eastAsia="ro-RO"/>
              </w:rPr>
              <w:t xml:space="preserve"> reglementează unele măsuri pentru ajustarea prețurilor necesare actualizării costurilor investiției în contractele de achiziție publică/ contractele sectoriale/acordurile-cadru precum și în alte categorii de contracte, respectiv ajustarea devizelor generale de investiții în cadrul contractelor finanțare care au asigurate resursele financiare parțial sau integral din fonduri externe nerambursabile.</w:t>
            </w:r>
          </w:p>
          <w:p w14:paraId="6DEAB610" w14:textId="77777777" w:rsidR="0084215A" w:rsidRDefault="0084215A" w:rsidP="0084215A">
            <w:pPr>
              <w:autoSpaceDE w:val="0"/>
              <w:autoSpaceDN w:val="0"/>
              <w:adjustRightInd w:val="0"/>
              <w:spacing w:after="120"/>
              <w:jc w:val="both"/>
              <w:rPr>
                <w:lang w:eastAsia="ro-RO"/>
              </w:rPr>
            </w:pPr>
            <w:r>
              <w:rPr>
                <w:lang w:eastAsia="ro-RO"/>
              </w:rPr>
              <w:t>De</w:t>
            </w:r>
            <w:r w:rsidRPr="0084215A">
              <w:rPr>
                <w:lang w:eastAsia="ro-RO"/>
              </w:rPr>
              <w:t xml:space="preserve"> asemenea, </w:t>
            </w:r>
            <w:r>
              <w:rPr>
                <w:lang w:eastAsia="ro-RO"/>
              </w:rPr>
              <w:t xml:space="preserve">este reglemnetată și </w:t>
            </w:r>
            <w:r w:rsidRPr="0084215A">
              <w:rPr>
                <w:lang w:eastAsia="ro-RO"/>
              </w:rPr>
              <w:t>metodologia de ajustare a prețurilor în vederea restabilirii echilibrului contractual în cadrul contractelor de achiziție publică/contractelor sectoriale/acordurilor-cadru precum și altor categorii de contracte.</w:t>
            </w:r>
          </w:p>
          <w:p w14:paraId="0D0566AD" w14:textId="605767FD" w:rsidR="0084215A" w:rsidRPr="0084215A" w:rsidRDefault="0084215A" w:rsidP="0084215A">
            <w:pPr>
              <w:autoSpaceDE w:val="0"/>
              <w:autoSpaceDN w:val="0"/>
              <w:adjustRightInd w:val="0"/>
              <w:spacing w:after="120"/>
              <w:jc w:val="both"/>
              <w:rPr>
                <w:lang w:eastAsia="ro-RO"/>
              </w:rPr>
            </w:pPr>
            <w:r w:rsidRPr="0084215A">
              <w:rPr>
                <w:lang w:eastAsia="ro-RO"/>
              </w:rPr>
              <w:t>Costurile investițiilor pentru proiectele de infrastructură publică, respectiv devizele generale de investiții pentru proiectele a căror procedură de atribuire nu a început sau pentru cele a căror proceduri de atribuire sunt reluate se pot actualiza cu indicii de cost în construcții total, utilizând ca an de referință anul 2022.</w:t>
            </w:r>
          </w:p>
          <w:p w14:paraId="1EBE39A5" w14:textId="62209430" w:rsidR="0084215A" w:rsidRPr="0084215A" w:rsidRDefault="0084215A" w:rsidP="0084215A">
            <w:pPr>
              <w:autoSpaceDE w:val="0"/>
              <w:autoSpaceDN w:val="0"/>
              <w:adjustRightInd w:val="0"/>
              <w:spacing w:after="120"/>
              <w:jc w:val="both"/>
              <w:rPr>
                <w:lang w:eastAsia="ro-RO"/>
              </w:rPr>
            </w:pPr>
            <w:r>
              <w:rPr>
                <w:lang w:eastAsia="ro-RO"/>
              </w:rPr>
              <w:t xml:space="preserve">Ajustarea prețurilor se </w:t>
            </w:r>
            <w:r w:rsidRPr="0084215A">
              <w:rPr>
                <w:lang w:eastAsia="ro-RO"/>
              </w:rPr>
              <w:t>aplică contractelor de achiziție dacă sunt întrunite cumulativ următoarele condiții de imprevizibilitate, astfel:</w:t>
            </w:r>
          </w:p>
          <w:p w14:paraId="02B62378" w14:textId="77777777" w:rsidR="0084215A" w:rsidRPr="0084215A" w:rsidRDefault="0084215A" w:rsidP="0084215A">
            <w:pPr>
              <w:autoSpaceDE w:val="0"/>
              <w:autoSpaceDN w:val="0"/>
              <w:adjustRightInd w:val="0"/>
              <w:spacing w:after="120"/>
              <w:jc w:val="both"/>
              <w:rPr>
                <w:lang w:eastAsia="ro-RO"/>
              </w:rPr>
            </w:pPr>
            <w:r w:rsidRPr="0084215A">
              <w:rPr>
                <w:lang w:eastAsia="ro-RO"/>
              </w:rPr>
              <w:t>a) schimbarea condițiilor economice, pe bază cărora s-a fundamentat prețul contractelor, a intervenit după termenul limită pentru depunerea ofertelor;</w:t>
            </w:r>
          </w:p>
          <w:p w14:paraId="207B72BC" w14:textId="77777777" w:rsidR="0084215A" w:rsidRPr="0084215A" w:rsidRDefault="0084215A" w:rsidP="0084215A">
            <w:pPr>
              <w:autoSpaceDE w:val="0"/>
              <w:autoSpaceDN w:val="0"/>
              <w:adjustRightInd w:val="0"/>
              <w:spacing w:after="120"/>
              <w:jc w:val="both"/>
              <w:rPr>
                <w:lang w:eastAsia="ro-RO"/>
              </w:rPr>
            </w:pPr>
            <w:r w:rsidRPr="0084215A">
              <w:rPr>
                <w:lang w:eastAsia="ro-RO"/>
              </w:rPr>
              <w:t xml:space="preserve">b) schimbarea, menționată la litera a), nu putea fi avută în vedere de către părțile contractante la momentul inițierii procedurii de atribuire sau al achiziției directe, respectiv la momentul elaborării ofertei; </w:t>
            </w:r>
          </w:p>
          <w:p w14:paraId="3AED5C5C" w14:textId="77777777" w:rsidR="0084215A" w:rsidRPr="0084215A" w:rsidRDefault="0084215A" w:rsidP="0084215A">
            <w:pPr>
              <w:autoSpaceDE w:val="0"/>
              <w:autoSpaceDN w:val="0"/>
              <w:adjustRightInd w:val="0"/>
              <w:spacing w:after="120"/>
              <w:jc w:val="both"/>
              <w:rPr>
                <w:lang w:eastAsia="ro-RO"/>
              </w:rPr>
            </w:pPr>
            <w:r w:rsidRPr="0084215A">
              <w:rPr>
                <w:lang w:eastAsia="ro-RO"/>
              </w:rPr>
              <w:t>c) contractantul, în situațiile menționate la literele a) și b), nu putea determina, în mod obiectiv, întinderea corectă a riscului contractual în propunerea financiară;</w:t>
            </w:r>
          </w:p>
          <w:p w14:paraId="3EFCF988" w14:textId="77777777" w:rsidR="0084215A" w:rsidRPr="0084215A" w:rsidRDefault="0084215A" w:rsidP="0084215A">
            <w:pPr>
              <w:autoSpaceDE w:val="0"/>
              <w:autoSpaceDN w:val="0"/>
              <w:adjustRightInd w:val="0"/>
              <w:spacing w:after="120"/>
              <w:jc w:val="both"/>
              <w:rPr>
                <w:lang w:eastAsia="ro-RO"/>
              </w:rPr>
            </w:pPr>
            <w:r w:rsidRPr="0084215A">
              <w:rPr>
                <w:lang w:eastAsia="ro-RO"/>
              </w:rPr>
              <w:t xml:space="preserve">d) contractantul face dovada creșterii costurilor pe bază cărora s-a fundamentat prețul inițial al contractului, inclusiv prin oferte de preț actualizate pe elementele semnificative de cost ale acestuia. </w:t>
            </w:r>
          </w:p>
          <w:p w14:paraId="5ADE4643" w14:textId="77777777" w:rsidR="00EA4A4C" w:rsidRPr="00DD5E00" w:rsidRDefault="00EA4A4C" w:rsidP="00EA4A4C">
            <w:pPr>
              <w:jc w:val="both"/>
              <w:rPr>
                <w:lang w:eastAsia="ro-RO"/>
              </w:rPr>
            </w:pPr>
            <w:r w:rsidRPr="00DD5E00">
              <w:rPr>
                <w:lang w:eastAsia="ro-RO"/>
              </w:rPr>
              <w:lastRenderedPageBreak/>
              <w:t>În vederea ajustării valorii solicitării de plată pentru situația contractelor de achiziție se utilizează următoarele formule de calcul:</w:t>
            </w:r>
          </w:p>
          <w:p w14:paraId="1C3A4CC9" w14:textId="77777777" w:rsidR="00EA4A4C" w:rsidRPr="00DD5E00" w:rsidRDefault="00EA4A4C" w:rsidP="00EA4A4C">
            <w:pPr>
              <w:jc w:val="both"/>
              <w:rPr>
                <w:lang w:eastAsia="ro-RO"/>
              </w:rPr>
            </w:pPr>
          </w:p>
          <w:p w14:paraId="03A089B3" w14:textId="77777777" w:rsidR="00EA4A4C" w:rsidRPr="00DD5E00" w:rsidRDefault="00EA4A4C" w:rsidP="00EA4A4C">
            <w:pPr>
              <w:jc w:val="both"/>
              <w:rPr>
                <w:lang w:eastAsia="ro-RO"/>
              </w:rPr>
            </w:pPr>
            <w:r w:rsidRPr="00DD5E00">
              <w:rPr>
                <w:lang w:eastAsia="ro-RO"/>
              </w:rPr>
              <w:t>a) Pentru contractele de lucrări din prezenta ordonanță de urgență încheiate cu preț ferm sau cu preț ferm și formulă de ajustare a prețului sau cu formulă de ajustare a prețului dacă formula de ajustare a prețului prevăzută de prezenta ordonanță de urgență este necesară pentru reechilibrarea condițiilor contractuale și finalizarea implementării proiectelor:</w:t>
            </w:r>
          </w:p>
          <w:p w14:paraId="40CF40DD" w14:textId="77777777" w:rsidR="00EA4A4C" w:rsidRPr="00DD5E00" w:rsidRDefault="00EA4A4C" w:rsidP="00EA4A4C">
            <w:pPr>
              <w:jc w:val="both"/>
              <w:rPr>
                <w:lang w:eastAsia="ro-RO"/>
              </w:rPr>
            </w:pPr>
          </w:p>
          <w:p w14:paraId="69F837E6"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 xml:space="preserve"> ×[</m:t>
                </m:r>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m:t>
                        </m:r>
                      </m:sub>
                    </m:sSub>
                  </m:num>
                  <m:den>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plr</m:t>
                        </m:r>
                      </m:sub>
                    </m:sSub>
                  </m:den>
                </m:f>
                <m:r>
                  <m:rPr>
                    <m:sty m:val="p"/>
                  </m:rPr>
                  <w:rPr>
                    <w:rFonts w:ascii="Cambria Math" w:hAnsi="Cambria Math"/>
                    <w:lang w:eastAsia="ro-RO"/>
                  </w:rPr>
                  <m:t>]</m:t>
                </m:r>
              </m:oMath>
            </m:oMathPara>
          </w:p>
          <w:p w14:paraId="728555AF" w14:textId="77777777" w:rsidR="00EA4A4C" w:rsidRPr="00635FA5" w:rsidRDefault="00EA4A4C" w:rsidP="00EA4A4C">
            <w:pPr>
              <w:ind w:firstLine="720"/>
              <w:jc w:val="both"/>
              <w:rPr>
                <w:lang w:eastAsia="ro-RO"/>
              </w:rPr>
            </w:pPr>
            <w:r w:rsidRPr="00635FA5">
              <w:rPr>
                <w:lang w:eastAsia="ro-RO"/>
              </w:rPr>
              <w:t>unde:</w:t>
            </w:r>
          </w:p>
          <w:p w14:paraId="00350055"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oMath>
            <w:r w:rsidR="00EA4A4C" w:rsidRPr="00635FA5">
              <w:rPr>
                <w:lang w:eastAsia="ro-RO"/>
              </w:rPr>
              <w:tab/>
              <w:t>- valoarea actualizată a plății solicitată de către contractant la data depunerii solicitării de plată;</w:t>
            </w:r>
          </w:p>
          <w:p w14:paraId="0C5A63C5"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oMath>
            <w:r w:rsidR="00EA4A4C" w:rsidRPr="00635FA5">
              <w:rPr>
                <w:lang w:eastAsia="ro-RO"/>
              </w:rPr>
              <w:tab/>
              <w:t>- valoarea plății solicitată de către contractant la data depunerii solicitării de plată;</w:t>
            </w:r>
          </w:p>
          <w:p w14:paraId="02B23A76"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m:t>
                  </m:r>
                </m:sub>
              </m:sSub>
            </m:oMath>
            <w:r w:rsidR="00EA4A4C" w:rsidRPr="00635FA5">
              <w:rPr>
                <w:lang w:eastAsia="ro-RO"/>
              </w:rPr>
              <w:tab/>
              <w:t>- este indicele de cost în construcții total, publicat de Institutul Național de Statistică în Buletinul Statistic de Prețuri, la tabelul 15, aplicabil cu 60 de zile înainte de ultima zi a lunii "n";</w:t>
            </w:r>
          </w:p>
          <w:p w14:paraId="0A798412"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plr</m:t>
                  </m:r>
                </m:sub>
              </m:sSub>
            </m:oMath>
            <w:r w:rsidR="00EA4A4C" w:rsidRPr="00635FA5">
              <w:rPr>
                <w:lang w:eastAsia="ro-RO"/>
              </w:rPr>
              <w:t xml:space="preserve">- Indicele de cost în construcții total, prognozat de Comisia Națională de Strategie si Prognoze, valabil în luna de referința, pentru data cu 60 zile înainte de ultima zi a lunii "n", potrivit anexei nr. 4. </w:t>
            </w:r>
          </w:p>
          <w:p w14:paraId="72CC6E7F"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av</m:t>
              </m:r>
            </m:oMath>
            <w:r w:rsidRPr="00635FA5">
              <w:rPr>
                <w:lang w:eastAsia="ro-RO"/>
              </w:rPr>
              <w:tab/>
              <w:t>- procentul de avans acordat de beneficiar contractantului, valabil la data efectuării plății;</w:t>
            </w:r>
          </w:p>
          <w:p w14:paraId="27B804C4"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p</m:t>
              </m:r>
            </m:oMath>
            <w:r w:rsidRPr="00635FA5">
              <w:rPr>
                <w:lang w:eastAsia="ro-RO"/>
              </w:rPr>
              <w:tab/>
              <w:t>- procentul de profit cuprins în solicitările la plată, în situația în care acesta nu există sau nu poate fi identificat se va considera 3% din valoarea situației de plată;</w:t>
            </w:r>
          </w:p>
          <w:p w14:paraId="599B9E35" w14:textId="77777777" w:rsidR="00EA4A4C" w:rsidRPr="00635FA5" w:rsidRDefault="00EA4A4C" w:rsidP="00EA4A4C">
            <w:pPr>
              <w:ind w:firstLine="630"/>
              <w:jc w:val="both"/>
              <w:rPr>
                <w:lang w:eastAsia="ro-RO"/>
              </w:rPr>
            </w:pPr>
            <w:r w:rsidRPr="00635FA5">
              <w:rPr>
                <w:lang w:eastAsia="ro-RO"/>
              </w:rPr>
              <w:t>luna „n” – luna depunerii solicitării de plată;</w:t>
            </w:r>
          </w:p>
          <w:p w14:paraId="42112A46" w14:textId="77777777" w:rsidR="00EA4A4C" w:rsidRPr="00DD5E00" w:rsidRDefault="00EA4A4C" w:rsidP="00EA4A4C">
            <w:pPr>
              <w:jc w:val="both"/>
              <w:rPr>
                <w:lang w:eastAsia="ro-RO"/>
              </w:rPr>
            </w:pPr>
          </w:p>
          <w:p w14:paraId="278FA329" w14:textId="77777777" w:rsidR="00EA4A4C" w:rsidRPr="00DD5E00" w:rsidRDefault="00EA4A4C" w:rsidP="00EA4A4C">
            <w:pPr>
              <w:jc w:val="both"/>
              <w:rPr>
                <w:lang w:eastAsia="ro-RO"/>
              </w:rPr>
            </w:pPr>
            <w:r w:rsidRPr="00DD5E00">
              <w:rPr>
                <w:lang w:eastAsia="ro-RO"/>
              </w:rPr>
              <w:t>b) Pentru contractele de produse din prezenta ordonanță de urgență încheiate cu preț ferm sau cu preț ferm și formulă de ajustare a prețului sau cu formulă de ajustare a prețului dacă formula de ajustare a prețului prevăzută de prezenta ordonanță de urgență este necesară pentru reechilibrarea condițiilor contractuale și finalizarea implementării proiectelor:</w:t>
            </w:r>
          </w:p>
          <w:p w14:paraId="4C732CAB" w14:textId="77777777" w:rsidR="00EA4A4C" w:rsidRPr="00DD5E00" w:rsidRDefault="00EA4A4C" w:rsidP="00EA4A4C">
            <w:pPr>
              <w:jc w:val="both"/>
              <w:rPr>
                <w:lang w:eastAsia="ro-RO"/>
              </w:rPr>
            </w:pPr>
          </w:p>
          <w:p w14:paraId="79856E9D" w14:textId="77777777" w:rsidR="00EA4A4C" w:rsidRPr="00635FA5" w:rsidRDefault="00EA4A4C" w:rsidP="00EA4A4C">
            <w:pPr>
              <w:ind w:firstLine="720"/>
              <w:jc w:val="both"/>
              <w:rPr>
                <w:lang w:eastAsia="ro-RO"/>
              </w:rPr>
            </w:pPr>
            <w:r w:rsidRPr="00635FA5">
              <w:rPr>
                <w:lang w:eastAsia="ro-RO"/>
              </w:rPr>
              <w:t xml:space="preserve">Pentru solicitările de plată depuse în anul 2022, dacă inicele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oMath>
            <w:r w:rsidRPr="00635FA5">
              <w:rPr>
                <w:lang w:eastAsia="ro-RO"/>
              </w:rPr>
              <w:t xml:space="preserve"> utilizat este aferent trimestrului IV a anului 2021</w:t>
            </w:r>
            <w:r w:rsidRPr="00DD5E00">
              <w:rPr>
                <w:lang w:eastAsia="ro-RO"/>
              </w:rPr>
              <w:t xml:space="preserve"> și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oMath>
            <w:r w:rsidRPr="00635FA5">
              <w:rPr>
                <w:lang w:eastAsia="ro-RO"/>
              </w:rPr>
              <w:t xml:space="preserve"> este aferent anului 2021:</w:t>
            </w:r>
          </w:p>
          <w:p w14:paraId="0EF17CB7"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 xml:space="preserve"> ×[</m:t>
                </m:r>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num>
                  <m:den>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den>
                </m:f>
                <m:r>
                  <m:rPr>
                    <m:sty m:val="p"/>
                  </m:rPr>
                  <w:rPr>
                    <w:rFonts w:ascii="Cambria Math" w:hAnsi="Cambria Math"/>
                    <w:lang w:eastAsia="ro-RO"/>
                  </w:rPr>
                  <m:t xml:space="preserve"> ]</m:t>
                </m:r>
              </m:oMath>
            </m:oMathPara>
          </w:p>
          <w:p w14:paraId="614A3FBC" w14:textId="77777777" w:rsidR="00EA4A4C" w:rsidRPr="00635FA5" w:rsidRDefault="00EA4A4C" w:rsidP="00EA4A4C">
            <w:pPr>
              <w:ind w:firstLine="720"/>
              <w:jc w:val="both"/>
              <w:rPr>
                <w:lang w:eastAsia="ro-RO"/>
              </w:rPr>
            </w:pPr>
            <w:r w:rsidRPr="00635FA5">
              <w:rPr>
                <w:lang w:eastAsia="ro-RO"/>
              </w:rPr>
              <w:t xml:space="preserve">Pentru solicitările de plată depuse în anul 2022 sau 2023, dacă indicele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oMath>
            <w:r w:rsidRPr="00635FA5">
              <w:rPr>
                <w:lang w:eastAsia="ro-RO"/>
              </w:rPr>
              <w:t xml:space="preserve"> utilizat este aferent trimestrelor I, II, III și IV, anului 2022</w:t>
            </w:r>
            <w:r w:rsidRPr="00DD5E00">
              <w:rPr>
                <w:lang w:eastAsia="ro-RO"/>
              </w:rPr>
              <w:t xml:space="preserve"> și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oMath>
            <w:r w:rsidRPr="00635FA5">
              <w:rPr>
                <w:lang w:eastAsia="ro-RO"/>
              </w:rPr>
              <w:t xml:space="preserve"> este aferent trimestrelor I, II, III si IV, anului  2021:</w:t>
            </w:r>
          </w:p>
          <w:p w14:paraId="787C0588"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 xml:space="preserve"> ×[</m:t>
                </m:r>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num>
                  <m:den>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den>
                </m:f>
                <m:r>
                  <m:rPr>
                    <m:sty m:val="p"/>
                  </m:rPr>
                  <w:rPr>
                    <w:rFonts w:ascii="Cambria Math" w:hAnsi="Cambria Math"/>
                    <w:lang w:eastAsia="ro-RO"/>
                  </w:rPr>
                  <m:t xml:space="preserve"> × </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mA</m:t>
                        </m:r>
                        <m:r>
                          <m:rPr>
                            <m:sty m:val="p"/>
                          </m:rPr>
                          <w:rPr>
                            <w:rFonts w:ascii="Cambria Math" w:hAnsi="Cambria Math"/>
                            <w:lang w:eastAsia="ro-RO"/>
                          </w:rPr>
                          <m:t>2021</m:t>
                        </m:r>
                      </m:sub>
                    </m:sSub>
                  </m:num>
                  <m:den>
                    <m:r>
                      <m:rPr>
                        <m:sty m:val="p"/>
                      </m:rPr>
                      <w:rPr>
                        <w:rFonts w:ascii="Cambria Math" w:hAnsi="Cambria Math"/>
                        <w:lang w:eastAsia="ro-RO"/>
                      </w:rPr>
                      <m:t>100</m:t>
                    </m:r>
                  </m:den>
                </m:f>
                <m:r>
                  <m:rPr>
                    <m:sty m:val="p"/>
                  </m:rPr>
                  <w:rPr>
                    <w:rFonts w:ascii="Cambria Math" w:hAnsi="Cambria Math"/>
                    <w:lang w:eastAsia="ro-RO"/>
                  </w:rPr>
                  <m:t>]</m:t>
                </m:r>
              </m:oMath>
            </m:oMathPara>
          </w:p>
          <w:p w14:paraId="48ED245F" w14:textId="77777777" w:rsidR="00EA4A4C" w:rsidRPr="00DD5E00" w:rsidRDefault="00EA4A4C" w:rsidP="00EA4A4C">
            <w:pPr>
              <w:ind w:firstLine="720"/>
              <w:jc w:val="both"/>
              <w:rPr>
                <w:lang w:eastAsia="ro-RO"/>
              </w:rPr>
            </w:pPr>
            <w:r w:rsidRPr="00635FA5">
              <w:rPr>
                <w:lang w:eastAsia="ro-RO"/>
              </w:rPr>
              <w:t xml:space="preserve">Pentru solicitările de plată depuse în anul 2023, dacă indicele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oMath>
            <w:r w:rsidRPr="00635FA5">
              <w:rPr>
                <w:lang w:eastAsia="ro-RO"/>
              </w:rPr>
              <w:t xml:space="preserve"> utilizat este aferent trimestrelor I, II, III si IV, anului 2023</w:t>
            </w:r>
            <w:r w:rsidRPr="00DD5E00">
              <w:rPr>
                <w:lang w:eastAsia="ro-RO"/>
              </w:rPr>
              <w:t xml:space="preserve"> și </w:t>
            </w: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oMath>
            <w:r w:rsidRPr="00635FA5">
              <w:rPr>
                <w:lang w:eastAsia="ro-RO"/>
              </w:rPr>
              <w:t xml:space="preserve"> este aferent trimestrelor I, II, III si IV, anului  2021:</w:t>
            </w:r>
          </w:p>
          <w:p w14:paraId="4C9934FD" w14:textId="77777777" w:rsidR="00EA4A4C" w:rsidRPr="00635FA5" w:rsidRDefault="00EA4A4C" w:rsidP="00EA4A4C">
            <w:pPr>
              <w:ind w:firstLine="720"/>
              <w:jc w:val="both"/>
              <w:rPr>
                <w:lang w:eastAsia="ro-RO"/>
              </w:rPr>
            </w:pPr>
          </w:p>
          <w:p w14:paraId="2C92BE01"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 xml:space="preserve"> ×[</m:t>
                </m:r>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num>
                  <m:den>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den>
                </m:f>
                <m:r>
                  <m:rPr>
                    <m:sty m:val="p"/>
                  </m:rPr>
                  <w:rPr>
                    <w:rFonts w:ascii="Cambria Math" w:hAnsi="Cambria Math"/>
                    <w:lang w:eastAsia="ro-RO"/>
                  </w:rPr>
                  <m:t xml:space="preserve"> × </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mA</m:t>
                        </m:r>
                        <m:r>
                          <m:rPr>
                            <m:sty m:val="p"/>
                          </m:rPr>
                          <w:rPr>
                            <w:rFonts w:ascii="Cambria Math" w:hAnsi="Cambria Math"/>
                            <w:lang w:eastAsia="ro-RO"/>
                          </w:rPr>
                          <m:t>2021</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mA</m:t>
                        </m:r>
                        <m:r>
                          <m:rPr>
                            <m:sty m:val="p"/>
                          </m:rPr>
                          <w:rPr>
                            <w:rFonts w:ascii="Cambria Math" w:hAnsi="Cambria Math"/>
                            <w:lang w:eastAsia="ro-RO"/>
                          </w:rPr>
                          <m:t>2022</m:t>
                        </m:r>
                      </m:sub>
                    </m:sSub>
                  </m:num>
                  <m:den>
                    <m:r>
                      <m:rPr>
                        <m:sty m:val="p"/>
                      </m:rPr>
                      <w:rPr>
                        <w:rFonts w:ascii="Cambria Math" w:hAnsi="Cambria Math"/>
                        <w:lang w:eastAsia="ro-RO"/>
                      </w:rPr>
                      <m:t>100 ×100</m:t>
                    </m:r>
                  </m:den>
                </m:f>
                <m:r>
                  <m:rPr>
                    <m:sty m:val="p"/>
                  </m:rPr>
                  <w:rPr>
                    <w:rFonts w:ascii="Cambria Math" w:hAnsi="Cambria Math"/>
                    <w:lang w:eastAsia="ro-RO"/>
                  </w:rPr>
                  <m:t>]</m:t>
                </m:r>
              </m:oMath>
            </m:oMathPara>
          </w:p>
          <w:p w14:paraId="148FFC04" w14:textId="77777777" w:rsidR="00EA4A4C" w:rsidRPr="00635FA5" w:rsidRDefault="00EA4A4C" w:rsidP="00EA4A4C">
            <w:pPr>
              <w:ind w:firstLine="720"/>
              <w:jc w:val="both"/>
              <w:rPr>
                <w:lang w:eastAsia="ro-RO"/>
              </w:rPr>
            </w:pPr>
            <w:r w:rsidRPr="00635FA5">
              <w:rPr>
                <w:lang w:eastAsia="ro-RO"/>
              </w:rPr>
              <w:t>unde:</w:t>
            </w:r>
          </w:p>
          <w:p w14:paraId="72C3DC26"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oMath>
            <w:r w:rsidR="00EA4A4C" w:rsidRPr="00635FA5">
              <w:rPr>
                <w:lang w:eastAsia="ro-RO"/>
              </w:rPr>
              <w:tab/>
              <w:t>- valoarea actualizată a plății solicitată de către contractant la data depunerii solicitării de plată;</w:t>
            </w:r>
          </w:p>
          <w:p w14:paraId="5EE18E92"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oMath>
            <w:r w:rsidR="00EA4A4C" w:rsidRPr="00635FA5">
              <w:rPr>
                <w:lang w:eastAsia="ro-RO"/>
              </w:rPr>
              <w:tab/>
              <w:t>- valoarea plății solicitată de către contractant la data depunerii solicitării de plată;</w:t>
            </w:r>
          </w:p>
          <w:p w14:paraId="0E275F1E"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m:t>
                  </m:r>
                </m:sub>
              </m:sSub>
            </m:oMath>
            <w:r w:rsidR="00EA4A4C" w:rsidRPr="00635FA5">
              <w:rPr>
                <w:lang w:eastAsia="ro-RO"/>
              </w:rPr>
              <w:tab/>
              <w:t>- Indicele valorii unitare – total, la import, trimestrial, realizat, publicat de Institutul Național de Statistică în „Indicii valorii unitare în comerțul internațional”, la tabelul 2 –</w:t>
            </w:r>
            <w:r w:rsidR="00EA4A4C" w:rsidRPr="00DD5E00">
              <w:rPr>
                <w:lang w:eastAsia="ro-RO"/>
              </w:rPr>
              <w:t xml:space="preserve"> </w:t>
            </w:r>
            <w:r w:rsidR="00EA4A4C" w:rsidRPr="00635FA5">
              <w:rPr>
                <w:lang w:eastAsia="ro-RO"/>
              </w:rPr>
              <w:t>„Indicii valorici, indicii valorii unitare și indicii volumului fizic la import”, aplicabil cu 90 de zile înainte de ultima zi a lunii "n";</w:t>
            </w:r>
          </w:p>
          <w:p w14:paraId="1778C0D7"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TRr</m:t>
                  </m:r>
                </m:sub>
              </m:sSub>
            </m:oMath>
            <w:r w:rsidR="00EA4A4C" w:rsidRPr="00635FA5">
              <w:rPr>
                <w:lang w:eastAsia="ro-RO"/>
              </w:rPr>
              <w:t>- Indicele valorii unitare – total, la import, trimestrial, realizat în luna de referință, publicat de Institutul Național de Statistică în „Indicii valorii unitare în comerțul internațional”, la tabelul 2 – „Indicii valorici, indicii valorii unitare și indicii volumului fizic la import”.</w:t>
            </w:r>
          </w:p>
          <w:p w14:paraId="0E8AC1C3"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mA</m:t>
                  </m:r>
                  <m:r>
                    <m:rPr>
                      <m:sty m:val="p"/>
                    </m:rPr>
                    <w:rPr>
                      <w:rFonts w:ascii="Cambria Math" w:hAnsi="Cambria Math"/>
                      <w:lang w:eastAsia="ro-RO"/>
                    </w:rPr>
                    <m:t>2021</m:t>
                  </m:r>
                </m:sub>
              </m:sSub>
            </m:oMath>
            <w:r w:rsidR="00EA4A4C" w:rsidRPr="00635FA5">
              <w:rPr>
                <w:lang w:eastAsia="ro-RO"/>
              </w:rPr>
              <w:tab/>
              <w:t>- Indicele valorii unitare – total, la import, mediu anual, realizat, pentru anul 2021, publicat de Institutul Național de Statistică în „Indicii valorii unitare în comerțul internațional”, la tabelul 2 –</w:t>
            </w:r>
            <w:r w:rsidR="00EA4A4C" w:rsidRPr="00DD5E00">
              <w:rPr>
                <w:lang w:eastAsia="ro-RO"/>
              </w:rPr>
              <w:t xml:space="preserve"> </w:t>
            </w:r>
            <w:r w:rsidR="00EA4A4C" w:rsidRPr="00635FA5">
              <w:rPr>
                <w:lang w:eastAsia="ro-RO"/>
              </w:rPr>
              <w:t>„Indicii valorici, indicii valorii unitare și indicii volumului fizic la import”</w:t>
            </w:r>
          </w:p>
          <w:p w14:paraId="7C381E84"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IVUI</m:t>
                  </m:r>
                </m:e>
                <m:sub>
                  <m:r>
                    <w:rPr>
                      <w:rFonts w:ascii="Cambria Math" w:hAnsi="Cambria Math"/>
                      <w:lang w:eastAsia="ro-RO"/>
                    </w:rPr>
                    <m:t>mA</m:t>
                  </m:r>
                  <m:r>
                    <m:rPr>
                      <m:sty m:val="p"/>
                    </m:rPr>
                    <w:rPr>
                      <w:rFonts w:ascii="Cambria Math" w:hAnsi="Cambria Math"/>
                      <w:lang w:eastAsia="ro-RO"/>
                    </w:rPr>
                    <m:t>2022</m:t>
                  </m:r>
                </m:sub>
              </m:sSub>
            </m:oMath>
            <w:r w:rsidR="00EA4A4C" w:rsidRPr="00635FA5">
              <w:rPr>
                <w:lang w:eastAsia="ro-RO"/>
              </w:rPr>
              <w:tab/>
              <w:t>- Indicele valorii unitare – total, la import, mediu anual, realizat, pentru anul 2022, publicat de Institutul Național de Statistică în „Indicii valorii unitare în comerțul internațional”, la tabelul 2 –</w:t>
            </w:r>
            <w:r w:rsidR="00EA4A4C" w:rsidRPr="00DD5E00">
              <w:rPr>
                <w:lang w:eastAsia="ro-RO"/>
              </w:rPr>
              <w:t xml:space="preserve"> </w:t>
            </w:r>
            <w:r w:rsidR="00EA4A4C" w:rsidRPr="00635FA5">
              <w:rPr>
                <w:lang w:eastAsia="ro-RO"/>
              </w:rPr>
              <w:t>„Indicii valorici, indicii valorii unitare și indicii volumului fizic la import”</w:t>
            </w:r>
          </w:p>
          <w:p w14:paraId="0FF7B580"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av</m:t>
              </m:r>
            </m:oMath>
            <w:r w:rsidRPr="00635FA5">
              <w:rPr>
                <w:lang w:eastAsia="ro-RO"/>
              </w:rPr>
              <w:tab/>
              <w:t>- procentul de avans acordat de beneficiar contractantului, valabil la data efectuării plății;</w:t>
            </w:r>
          </w:p>
          <w:p w14:paraId="2CFAB99B"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p</m:t>
              </m:r>
            </m:oMath>
            <w:r w:rsidRPr="00635FA5">
              <w:rPr>
                <w:lang w:eastAsia="ro-RO"/>
              </w:rPr>
              <w:tab/>
              <w:t>- procentul de profit cuprins în solicitările la plată, în situația în care acesta nu există sau nu poate fi identificat se va considera 3% din valoarea situației de plată;</w:t>
            </w:r>
          </w:p>
          <w:p w14:paraId="29AF3B70" w14:textId="77777777" w:rsidR="00EA4A4C" w:rsidRPr="00635FA5" w:rsidRDefault="00EA4A4C" w:rsidP="00EA4A4C">
            <w:pPr>
              <w:ind w:firstLine="630"/>
              <w:jc w:val="both"/>
              <w:rPr>
                <w:lang w:eastAsia="ro-RO"/>
              </w:rPr>
            </w:pPr>
            <w:r w:rsidRPr="00635FA5">
              <w:rPr>
                <w:lang w:eastAsia="ro-RO"/>
              </w:rPr>
              <w:t>luna „n” – luna depunerii solicitării de plată;</w:t>
            </w:r>
          </w:p>
          <w:p w14:paraId="42880025" w14:textId="77777777" w:rsidR="00EA4A4C" w:rsidRPr="00DD5E00" w:rsidRDefault="00EA4A4C" w:rsidP="00EA4A4C">
            <w:pPr>
              <w:jc w:val="both"/>
              <w:rPr>
                <w:lang w:eastAsia="ro-RO"/>
              </w:rPr>
            </w:pPr>
          </w:p>
          <w:p w14:paraId="767A57B7" w14:textId="77777777" w:rsidR="00EA4A4C" w:rsidRPr="00DD5E00" w:rsidRDefault="00EA4A4C" w:rsidP="00EA4A4C">
            <w:pPr>
              <w:jc w:val="both"/>
              <w:rPr>
                <w:lang w:eastAsia="ro-RO"/>
              </w:rPr>
            </w:pPr>
            <w:r w:rsidRPr="00DD5E00">
              <w:rPr>
                <w:lang w:eastAsia="ro-RO"/>
              </w:rPr>
              <w:t xml:space="preserve">c) Pentru contractele de lucrări din prezenta ordonanță de urgență, al căror obiect îl constituie proiectele de infrastructură de transport de interes național sau european, </w:t>
            </w:r>
            <w:r>
              <w:rPr>
                <w:lang w:eastAsia="ro-RO"/>
              </w:rPr>
              <w:t xml:space="preserve">de infrastructură mare de </w:t>
            </w:r>
            <w:r w:rsidRPr="00DD5E00">
              <w:rPr>
                <w:lang w:eastAsia="ro-RO"/>
              </w:rPr>
              <w:t>apă-apă uzata și deșeuri, care sunt încheiate cu preț ferm și formulă de ajustare a prețului sau cu formulă de ajustare a prețului dacă formula de ajustare a prețului prevăzută de prezenta ordonanță de urgență este necesară pentru reechilibrarea condițiilor contractuale și finalizarea implementării proiectelor:</w:t>
            </w:r>
          </w:p>
          <w:p w14:paraId="4E84043C" w14:textId="77777777" w:rsidR="00EA4A4C" w:rsidRPr="00DD5E00" w:rsidRDefault="00EA4A4C" w:rsidP="00EA4A4C">
            <w:pPr>
              <w:jc w:val="both"/>
              <w:rPr>
                <w:lang w:eastAsia="ro-RO"/>
              </w:rPr>
            </w:pPr>
          </w:p>
          <w:p w14:paraId="39A35C45"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m</m:t>
                    </m:r>
                  </m:sub>
                </m:sSub>
                <m:r>
                  <m:rPr>
                    <m:sty m:val="p"/>
                  </m:rPr>
                  <w:rPr>
                    <w:rFonts w:ascii="Cambria Math" w:hAnsi="Cambria Math"/>
                    <w:lang w:eastAsia="ro-RO"/>
                  </w:rPr>
                  <m:t xml:space="preserve"> ×</m:t>
                </m:r>
                <m:d>
                  <m:dPr>
                    <m:begChr m:val="["/>
                    <m:endChr m:val="]"/>
                    <m:ctrlPr>
                      <w:rPr>
                        <w:rFonts w:ascii="Cambria Math" w:hAnsi="Cambria Math"/>
                        <w:lang w:eastAsia="ro-RO"/>
                      </w:rPr>
                    </m:ctrlPr>
                  </m:dPr>
                  <m:e>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m:t>
                    </m:r>
                    <m:d>
                      <m:dPr>
                        <m:ctrlPr>
                          <w:rPr>
                            <w:rFonts w:ascii="Cambria Math" w:hAnsi="Cambria Math"/>
                            <w:lang w:eastAsia="ro-RO"/>
                          </w:rPr>
                        </m:ctrlPr>
                      </m:dPr>
                      <m:e>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mr</m:t>
                            </m:r>
                          </m:sub>
                        </m:sSub>
                      </m:num>
                      <m:den>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mlr</m:t>
                            </m:r>
                          </m:sub>
                        </m:sSub>
                      </m:den>
                    </m:f>
                  </m:e>
                </m:d>
                <m:r>
                  <m:rPr>
                    <m:sty m:val="p"/>
                  </m:rPr>
                  <w:rPr>
                    <w:rFonts w:ascii="Cambria Math" w:hAnsi="Cambria Math"/>
                    <w:lang w:eastAsia="ro-RO"/>
                  </w:rPr>
                  <m:t>+</m:t>
                </m:r>
                <m:d>
                  <m:dPr>
                    <m:ctrlPr>
                      <w:rPr>
                        <w:rFonts w:ascii="Cambria Math" w:hAnsi="Cambria Math"/>
                        <w:lang w:eastAsia="ro-RO"/>
                      </w:rPr>
                    </m:ctrlPr>
                  </m:dPr>
                  <m:e>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m</m:t>
                        </m:r>
                      </m:sub>
                    </m:sSub>
                  </m:e>
                </m:d>
                <m:r>
                  <m:rPr>
                    <m:sty m:val="p"/>
                  </m:rPr>
                  <w:rPr>
                    <w:rFonts w:ascii="Cambria Math" w:hAnsi="Cambria Math"/>
                    <w:lang w:eastAsia="ro-RO"/>
                  </w:rPr>
                  <m:t>×</m:t>
                </m:r>
                <m:d>
                  <m:dPr>
                    <m:begChr m:val="["/>
                    <m:endChr m:val="]"/>
                    <m:ctrlPr>
                      <w:rPr>
                        <w:rFonts w:ascii="Cambria Math" w:hAnsi="Cambria Math"/>
                        <w:lang w:eastAsia="ro-RO"/>
                      </w:rPr>
                    </m:ctrlPr>
                  </m:dPr>
                  <m:e>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m:t>
                    </m:r>
                    <m:d>
                      <m:dPr>
                        <m:ctrlPr>
                          <w:rPr>
                            <w:rFonts w:ascii="Cambria Math" w:hAnsi="Cambria Math"/>
                            <w:lang w:eastAsia="ro-RO"/>
                          </w:rPr>
                        </m:ctrlPr>
                      </m:dPr>
                      <m:e>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m:t>
                            </m:r>
                          </m:sub>
                        </m:sSub>
                      </m:num>
                      <m:den>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Rlr</m:t>
                            </m:r>
                          </m:sub>
                        </m:sSub>
                      </m:den>
                    </m:f>
                  </m:e>
                </m:d>
              </m:oMath>
            </m:oMathPara>
          </w:p>
          <w:p w14:paraId="4B17A12D" w14:textId="77777777" w:rsidR="00EA4A4C" w:rsidRPr="00635FA5" w:rsidRDefault="00EA4A4C" w:rsidP="00EA4A4C">
            <w:pPr>
              <w:ind w:firstLine="720"/>
              <w:jc w:val="both"/>
              <w:rPr>
                <w:lang w:eastAsia="ro-RO"/>
              </w:rPr>
            </w:pPr>
            <w:r w:rsidRPr="00635FA5">
              <w:rPr>
                <w:lang w:eastAsia="ro-RO"/>
              </w:rPr>
              <w:t>unde:</w:t>
            </w:r>
          </w:p>
          <w:p w14:paraId="648F1A94"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oMath>
            <w:r w:rsidR="00EA4A4C" w:rsidRPr="00635FA5">
              <w:rPr>
                <w:lang w:eastAsia="ro-RO"/>
              </w:rPr>
              <w:tab/>
              <w:t>- valoarea actualizată a plății solicitată de către contractant la data depunerii solicitării de plată;</w:t>
            </w:r>
          </w:p>
          <w:p w14:paraId="60FB9ACC"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oMath>
            <w:r w:rsidR="00EA4A4C" w:rsidRPr="00635FA5">
              <w:rPr>
                <w:lang w:eastAsia="ro-RO"/>
              </w:rPr>
              <w:tab/>
              <w:t>- valoarea plății solicitată de către contractant la data depunerii solicitării de plată;</w:t>
            </w:r>
          </w:p>
          <w:p w14:paraId="2F6E67B1"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m</m:t>
                  </m:r>
                </m:sub>
              </m:sSub>
            </m:oMath>
            <w:r w:rsidR="00EA4A4C" w:rsidRPr="00635FA5">
              <w:rPr>
                <w:lang w:eastAsia="ro-RO"/>
              </w:rPr>
              <w:tab/>
              <w:t>- valoarea aferenta cheltuielilor cu materialele din valoarea plății solicitată de către contractant la data depunerii solicitării de plată;</w:t>
            </w:r>
          </w:p>
          <w:p w14:paraId="398CB423"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mr</m:t>
                  </m:r>
                </m:sub>
              </m:sSub>
            </m:oMath>
            <w:r w:rsidR="00EA4A4C" w:rsidRPr="00635FA5">
              <w:rPr>
                <w:lang w:eastAsia="ro-RO"/>
              </w:rPr>
              <w:t xml:space="preserve"> – indicele de cost în construcții pentru costul materialelor, realizat, publicat de Institutul Național de Statistică în Buletinul Statistic de Prețuri, aplicabil cu 60 de zile înainte de ultima zi a lunii "n";</w:t>
            </w:r>
          </w:p>
          <w:p w14:paraId="65E77D73"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mlr</m:t>
                  </m:r>
                </m:sub>
              </m:sSub>
            </m:oMath>
            <w:r w:rsidR="00EA4A4C" w:rsidRPr="00635FA5">
              <w:rPr>
                <w:lang w:eastAsia="ro-RO"/>
              </w:rPr>
              <w:t xml:space="preserve"> - indicele de cost în construcții pentru costul materialelor, realizat, publicat de Institutul Național de Statistică, în luna de referință;</w:t>
            </w:r>
          </w:p>
          <w:p w14:paraId="7CC4A3B4"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m:t>
                  </m:r>
                </m:sub>
              </m:sSub>
            </m:oMath>
            <w:r w:rsidR="00EA4A4C" w:rsidRPr="00635FA5">
              <w:rPr>
                <w:lang w:eastAsia="ro-RO"/>
              </w:rPr>
              <w:tab/>
              <w:t>- este indicele de cost în construcții total, realizat, publicat de Institutul Național de Statistică în Buletinul Statistic de Prețuri, la tabelul 15, aplicabil cu 60 de zile înainte de ultima zi a lunii "n";</w:t>
            </w:r>
          </w:p>
          <w:p w14:paraId="1EC9250E"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ICC</m:t>
                  </m:r>
                </m:e>
                <m:sub>
                  <m:r>
                    <w:rPr>
                      <w:rFonts w:ascii="Cambria Math" w:hAnsi="Cambria Math"/>
                      <w:lang w:eastAsia="ro-RO"/>
                    </w:rPr>
                    <m:t>Rlr</m:t>
                  </m:r>
                </m:sub>
              </m:sSub>
            </m:oMath>
            <w:r w:rsidR="00EA4A4C" w:rsidRPr="00635FA5">
              <w:rPr>
                <w:lang w:eastAsia="ro-RO"/>
              </w:rPr>
              <w:t>- Indicele de cost în construcții total, realizat, publicat de Institutul Național de Statistică, în luna de referință;</w:t>
            </w:r>
          </w:p>
          <w:p w14:paraId="259F5CE2"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av</m:t>
              </m:r>
            </m:oMath>
            <w:r w:rsidRPr="00635FA5">
              <w:rPr>
                <w:lang w:eastAsia="ro-RO"/>
              </w:rPr>
              <w:tab/>
              <w:t>- procentul de avans acordat de beneficiar contractantului, valabil la data efectuării plății;</w:t>
            </w:r>
          </w:p>
          <w:p w14:paraId="6DBB18EC"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p</m:t>
              </m:r>
            </m:oMath>
            <w:r w:rsidRPr="00635FA5">
              <w:rPr>
                <w:lang w:eastAsia="ro-RO"/>
              </w:rPr>
              <w:tab/>
              <w:t>- procentul de profit cuprins în solicitările la plată, în situația în care acesta nu există sau nu poate fi identificat se va considera 3% din valoarea situației de plată;</w:t>
            </w:r>
          </w:p>
          <w:p w14:paraId="3DB8193C" w14:textId="77777777" w:rsidR="00EA4A4C" w:rsidRPr="00DD5E00" w:rsidRDefault="00EA4A4C" w:rsidP="00EA4A4C">
            <w:pPr>
              <w:jc w:val="both"/>
              <w:rPr>
                <w:lang w:eastAsia="ro-RO"/>
              </w:rPr>
            </w:pPr>
            <w:r w:rsidRPr="00635FA5">
              <w:rPr>
                <w:lang w:eastAsia="ro-RO"/>
              </w:rPr>
              <w:t>luna „n” – luna depunerii solicitării de plată;</w:t>
            </w:r>
          </w:p>
          <w:p w14:paraId="5AACE43E" w14:textId="77777777" w:rsidR="00EA4A4C" w:rsidRPr="00DD5E00" w:rsidRDefault="00EA4A4C" w:rsidP="00EA4A4C">
            <w:pPr>
              <w:jc w:val="both"/>
              <w:rPr>
                <w:lang w:eastAsia="ro-RO"/>
              </w:rPr>
            </w:pPr>
          </w:p>
          <w:p w14:paraId="35BD095F" w14:textId="77777777" w:rsidR="00EA4A4C" w:rsidRPr="00DD5E00" w:rsidRDefault="00EA4A4C" w:rsidP="00EA4A4C">
            <w:pPr>
              <w:jc w:val="both"/>
              <w:rPr>
                <w:lang w:eastAsia="ro-RO"/>
              </w:rPr>
            </w:pPr>
            <w:r w:rsidRPr="00DD5E00">
              <w:rPr>
                <w:lang w:eastAsia="ro-RO"/>
              </w:rPr>
              <w:t>d) Pentru contracte de servicii din prezenta ordonanță de urgență încheiate cu preț ferm:</w:t>
            </w:r>
          </w:p>
          <w:p w14:paraId="301D5C1A" w14:textId="77777777" w:rsidR="00EA4A4C" w:rsidRPr="00635FA5" w:rsidRDefault="00EA4A4C" w:rsidP="00EA4A4C">
            <w:pPr>
              <w:ind w:firstLine="720"/>
              <w:jc w:val="both"/>
              <w:rPr>
                <w:lang w:eastAsia="ro-RO"/>
              </w:rPr>
            </w:pPr>
          </w:p>
          <w:p w14:paraId="71631C12" w14:textId="77777777" w:rsidR="00EA4A4C" w:rsidRPr="00635FA5" w:rsidRDefault="004F3247" w:rsidP="00EA4A4C">
            <w:pPr>
              <w:ind w:firstLine="720"/>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 xml:space="preserve"> ×[</m:t>
                </m:r>
                <m:d>
                  <m:dPr>
                    <m:ctrlPr>
                      <w:rPr>
                        <w:rFonts w:ascii="Cambria Math" w:hAnsi="Cambria Math"/>
                        <w:lang w:eastAsia="ro-RO"/>
                      </w:rPr>
                    </m:ctrlPr>
                  </m:dPr>
                  <m:e>
                    <m:r>
                      <m:rPr>
                        <m:sty m:val="p"/>
                      </m:rPr>
                      <w:rPr>
                        <w:rFonts w:ascii="Cambria Math" w:hAnsi="Cambria Math"/>
                        <w:lang w:eastAsia="ro-RO"/>
                      </w:rPr>
                      <m:t>%</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e>
                </m:d>
                <m:r>
                  <m:rPr>
                    <m:sty m:val="p"/>
                  </m:rPr>
                  <w:rPr>
                    <w:rFonts w:ascii="Cambria Math" w:hAnsi="Cambria Math"/>
                    <w:lang w:eastAsia="ro-RO"/>
                  </w:rPr>
                  <m:t>+(1-%</m:t>
                </m:r>
                <m:r>
                  <w:rPr>
                    <w:rFonts w:ascii="Cambria Math" w:hAnsi="Cambria Math"/>
                    <w:lang w:eastAsia="ro-RO"/>
                  </w:rPr>
                  <m:t>av</m:t>
                </m:r>
                <m:r>
                  <m:rPr>
                    <m:sty m:val="p"/>
                  </m:rPr>
                  <w:rPr>
                    <w:rFonts w:ascii="Cambria Math" w:hAnsi="Cambria Math"/>
                    <w:lang w:eastAsia="ro-RO"/>
                  </w:rPr>
                  <m:t>-%</m:t>
                </m:r>
                <m:r>
                  <w:rPr>
                    <w:rFonts w:ascii="Cambria Math" w:hAnsi="Cambria Math"/>
                    <w:lang w:eastAsia="ro-RO"/>
                  </w:rPr>
                  <m:t>p</m:t>
                </m:r>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IPC</m:t>
                        </m:r>
                      </m:e>
                      <m:sub>
                        <m:r>
                          <w:rPr>
                            <w:rFonts w:ascii="Cambria Math" w:hAnsi="Cambria Math"/>
                            <w:lang w:eastAsia="ro-RO"/>
                          </w:rPr>
                          <m:t>lr</m:t>
                        </m:r>
                      </m:sub>
                    </m:sSub>
                  </m:num>
                  <m:den>
                    <m:r>
                      <m:rPr>
                        <m:sty m:val="p"/>
                      </m:rPr>
                      <w:rPr>
                        <w:rFonts w:ascii="Cambria Math" w:hAnsi="Cambria Math"/>
                        <w:lang w:eastAsia="ro-RO"/>
                      </w:rPr>
                      <m:t>100</m:t>
                    </m:r>
                  </m:den>
                </m:f>
                <m:r>
                  <m:rPr>
                    <m:sty m:val="p"/>
                  </m:rPr>
                  <w:rPr>
                    <w:rFonts w:ascii="Cambria Math" w:hAnsi="Cambria Math"/>
                    <w:lang w:eastAsia="ro-RO"/>
                  </w:rPr>
                  <m:t>]</m:t>
                </m:r>
              </m:oMath>
            </m:oMathPara>
          </w:p>
          <w:p w14:paraId="0238DB73" w14:textId="77777777" w:rsidR="00EA4A4C" w:rsidRPr="00635FA5" w:rsidRDefault="00EA4A4C" w:rsidP="00EA4A4C">
            <w:pPr>
              <w:ind w:firstLine="720"/>
              <w:jc w:val="both"/>
              <w:rPr>
                <w:lang w:eastAsia="ro-RO"/>
              </w:rPr>
            </w:pPr>
            <w:r w:rsidRPr="00635FA5">
              <w:rPr>
                <w:lang w:eastAsia="ro-RO"/>
              </w:rPr>
              <w:t>unde:</w:t>
            </w:r>
          </w:p>
          <w:p w14:paraId="5A477676"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oMath>
            <w:r w:rsidR="00EA4A4C" w:rsidRPr="00635FA5">
              <w:rPr>
                <w:lang w:eastAsia="ro-RO"/>
              </w:rPr>
              <w:tab/>
              <w:t xml:space="preserve">- valoarea actualizată a plății solicitată de către contractant la data depunerii solicitării de </w:t>
            </w:r>
            <w:r w:rsidR="00EA4A4C" w:rsidRPr="00635FA5">
              <w:rPr>
                <w:lang w:eastAsia="ro-RO"/>
              </w:rPr>
              <w:lastRenderedPageBreak/>
              <w:t>plată;</w:t>
            </w:r>
          </w:p>
          <w:p w14:paraId="029862BE"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oMath>
            <w:r w:rsidR="00EA4A4C" w:rsidRPr="00635FA5">
              <w:rPr>
                <w:lang w:eastAsia="ro-RO"/>
              </w:rPr>
              <w:tab/>
              <w:t>- valoarea plății solicitată de către contractant la data depunerii solicitării de plată;</w:t>
            </w:r>
          </w:p>
          <w:p w14:paraId="2B10BD49" w14:textId="77777777" w:rsidR="00EA4A4C" w:rsidRPr="00DD5E00"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IPC</m:t>
                  </m:r>
                </m:e>
                <m:sub>
                  <m:r>
                    <w:rPr>
                      <w:rFonts w:ascii="Cambria Math" w:hAnsi="Cambria Math"/>
                      <w:lang w:eastAsia="ro-RO"/>
                    </w:rPr>
                    <m:t>lr</m:t>
                  </m:r>
                </m:sub>
              </m:sSub>
            </m:oMath>
            <w:r w:rsidR="00EA4A4C" w:rsidRPr="00635FA5">
              <w:rPr>
                <w:lang w:eastAsia="ro-RO"/>
              </w:rPr>
              <w:tab/>
              <w:t>- este indicele lunar al prețului de consum total, diseminat de Institutul Național de Statistică, prin Baza de Date IPC – Lunar, disponibilă online, având ca Perioada curenta - data cu 60 de zile înainte de ultima zi a lunii "n" și ca Perioada de referință - luna de referință</w:t>
            </w:r>
            <w:r w:rsidR="00EA4A4C" w:rsidRPr="00DD5E00">
              <w:rPr>
                <w:lang w:eastAsia="ro-RO"/>
              </w:rPr>
              <w:t>;</w:t>
            </w:r>
          </w:p>
          <w:p w14:paraId="3C3A5E15"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av</m:t>
              </m:r>
            </m:oMath>
            <w:r w:rsidRPr="00635FA5">
              <w:rPr>
                <w:lang w:eastAsia="ro-RO"/>
              </w:rPr>
              <w:tab/>
              <w:t>- procentul de avans acordat de beneficiar contractantului, valabil la data efectuării plății;</w:t>
            </w:r>
          </w:p>
          <w:p w14:paraId="26381DD4" w14:textId="77777777" w:rsidR="00EA4A4C" w:rsidRPr="00635FA5" w:rsidRDefault="00EA4A4C" w:rsidP="00EA4A4C">
            <w:pPr>
              <w:ind w:firstLine="720"/>
              <w:jc w:val="both"/>
              <w:rPr>
                <w:lang w:eastAsia="ro-RO"/>
              </w:rPr>
            </w:pPr>
            <m:oMath>
              <m:r>
                <m:rPr>
                  <m:sty m:val="p"/>
                </m:rPr>
                <w:rPr>
                  <w:rFonts w:ascii="Cambria Math" w:hAnsi="Cambria Math"/>
                  <w:lang w:eastAsia="ro-RO"/>
                </w:rPr>
                <m:t>%</m:t>
              </m:r>
              <m:r>
                <w:rPr>
                  <w:rFonts w:ascii="Cambria Math" w:hAnsi="Cambria Math"/>
                  <w:lang w:eastAsia="ro-RO"/>
                </w:rPr>
                <m:t>p</m:t>
              </m:r>
            </m:oMath>
            <w:r w:rsidRPr="00635FA5">
              <w:rPr>
                <w:lang w:eastAsia="ro-RO"/>
              </w:rPr>
              <w:tab/>
              <w:t>- procentul de profit cuprins în solicitările la plată, în situația în care acesta nu există sau nu poate fi identificat se va considera 3% din valoarea situației de plată;</w:t>
            </w:r>
          </w:p>
          <w:p w14:paraId="51DD0B75" w14:textId="77777777" w:rsidR="00EA4A4C" w:rsidRPr="00635FA5" w:rsidRDefault="00EA4A4C" w:rsidP="00EA4A4C">
            <w:pPr>
              <w:ind w:firstLine="630"/>
              <w:jc w:val="both"/>
              <w:rPr>
                <w:lang w:eastAsia="ro-RO"/>
              </w:rPr>
            </w:pPr>
            <w:r w:rsidRPr="00635FA5">
              <w:rPr>
                <w:lang w:eastAsia="ro-RO"/>
              </w:rPr>
              <w:t>luna „n” – luna depunerii solicitării de plată;</w:t>
            </w:r>
          </w:p>
          <w:p w14:paraId="280D5F3F" w14:textId="77777777" w:rsidR="00EA4A4C" w:rsidRPr="00635FA5" w:rsidRDefault="00EA4A4C" w:rsidP="00EA4A4C">
            <w:pPr>
              <w:ind w:firstLine="630"/>
              <w:jc w:val="both"/>
              <w:rPr>
                <w:lang w:eastAsia="ro-RO"/>
              </w:rPr>
            </w:pPr>
          </w:p>
          <w:p w14:paraId="240BC244" w14:textId="77777777" w:rsidR="00EA4A4C" w:rsidRPr="00DD5E00" w:rsidRDefault="00EA4A4C" w:rsidP="00EA4A4C">
            <w:pPr>
              <w:jc w:val="both"/>
              <w:rPr>
                <w:lang w:eastAsia="ro-RO"/>
              </w:rPr>
            </w:pPr>
            <w:r w:rsidRPr="00DD5E00">
              <w:rPr>
                <w:lang w:eastAsia="ro-RO"/>
              </w:rPr>
              <w:t>Pentru procedurile de atribuire care se vor publica după data intrării în vigoare a prezentei ordonanțe de urgență beneficiarii de fonduri externe nerambursabile pot include în documentațiile de atribuire a contractelor de lucrări care au ca obiect proiectele de infrastructură de transport, rețele de apă-apă uzată și deșeuri cu valoare de peste 25 milioane de euro formula de ajustare:</w:t>
            </w:r>
          </w:p>
          <w:p w14:paraId="72285E07" w14:textId="77777777" w:rsidR="00EA4A4C" w:rsidRPr="00DD5E00" w:rsidRDefault="00EA4A4C" w:rsidP="00EA4A4C">
            <w:pPr>
              <w:jc w:val="both"/>
              <w:rPr>
                <w:lang w:eastAsia="ro-RO"/>
              </w:rPr>
            </w:pPr>
          </w:p>
          <w:p w14:paraId="11AC1CA5" w14:textId="77777777" w:rsidR="00EA4A4C" w:rsidRPr="00635FA5" w:rsidRDefault="004F3247" w:rsidP="00EA4A4C">
            <w:pPr>
              <w:ind w:firstLine="708"/>
              <w:jc w:val="both"/>
              <w:rPr>
                <w:lang w:eastAsia="ro-RO"/>
              </w:rPr>
            </w:pPr>
            <m:oMathPara>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m:t>
                </m:r>
                <m:nary>
                  <m:naryPr>
                    <m:chr m:val="∑"/>
                    <m:limLoc m:val="undOvr"/>
                    <m:ctrlPr>
                      <w:rPr>
                        <w:rFonts w:ascii="Cambria Math" w:hAnsi="Cambria Math"/>
                        <w:lang w:eastAsia="ro-RO"/>
                      </w:rPr>
                    </m:ctrlPr>
                  </m:naryPr>
                  <m:sub>
                    <m:r>
                      <w:rPr>
                        <w:rFonts w:ascii="Cambria Math" w:hAnsi="Cambria Math"/>
                        <w:lang w:eastAsia="ro-RO"/>
                      </w:rPr>
                      <m:t>i</m:t>
                    </m:r>
                    <m:r>
                      <m:rPr>
                        <m:sty m:val="p"/>
                      </m:rPr>
                      <w:rPr>
                        <w:rFonts w:ascii="Cambria Math" w:hAnsi="Cambria Math"/>
                        <w:lang w:eastAsia="ro-RO"/>
                      </w:rPr>
                      <m:t>=1</m:t>
                    </m:r>
                  </m:sub>
                  <m:sup>
                    <m:r>
                      <m:rPr>
                        <m:sty m:val="p"/>
                      </m:rPr>
                      <w:rPr>
                        <w:rFonts w:ascii="Cambria Math" w:hAnsi="Cambria Math"/>
                        <w:lang w:eastAsia="ro-RO"/>
                      </w:rPr>
                      <m:t>10</m:t>
                    </m:r>
                  </m:sup>
                  <m:e>
                    <m:sSub>
                      <m:sSubPr>
                        <m:ctrlPr>
                          <w:rPr>
                            <w:rFonts w:ascii="Cambria Math" w:hAnsi="Cambria Math"/>
                            <w:lang w:eastAsia="ro-RO"/>
                          </w:rPr>
                        </m:ctrlPr>
                      </m:sSubPr>
                      <m:e>
                        <m:r>
                          <w:rPr>
                            <w:rFonts w:ascii="Cambria Math" w:hAnsi="Cambria Math"/>
                            <w:lang w:eastAsia="ro-RO"/>
                          </w:rPr>
                          <m:t>c</m:t>
                        </m:r>
                      </m:e>
                      <m:sub>
                        <m:r>
                          <w:rPr>
                            <w:rFonts w:ascii="Cambria Math" w:hAnsi="Cambria Math"/>
                            <w:lang w:eastAsia="ro-RO"/>
                          </w:rPr>
                          <m:t>i</m:t>
                        </m:r>
                      </m:sub>
                    </m:sSub>
                    <m:r>
                      <m:rPr>
                        <m:sty m:val="p"/>
                      </m:rPr>
                      <w:rPr>
                        <w:rFonts w:ascii="Cambria Math" w:hAnsi="Cambria Math"/>
                        <w:lang w:eastAsia="ro-RO"/>
                      </w:rPr>
                      <m:t>×</m:t>
                    </m:r>
                    <m:f>
                      <m:fPr>
                        <m:ctrlPr>
                          <w:rPr>
                            <w:rFonts w:ascii="Cambria Math" w:hAnsi="Cambria Math"/>
                            <w:lang w:eastAsia="ro-RO"/>
                          </w:rPr>
                        </m:ctrlPr>
                      </m:fPr>
                      <m:num>
                        <m:sSub>
                          <m:sSubPr>
                            <m:ctrlPr>
                              <w:rPr>
                                <w:rFonts w:ascii="Cambria Math" w:hAnsi="Cambria Math"/>
                                <w:lang w:eastAsia="ro-RO"/>
                              </w:rPr>
                            </m:ctrlPr>
                          </m:sSubPr>
                          <m:e>
                            <m:r>
                              <w:rPr>
                                <w:rFonts w:ascii="Cambria Math" w:hAnsi="Cambria Math"/>
                                <w:lang w:eastAsia="ro-RO"/>
                              </w:rPr>
                              <m:t>I</m:t>
                            </m:r>
                          </m:e>
                          <m:sub>
                            <m:r>
                              <w:rPr>
                                <w:rFonts w:ascii="Cambria Math" w:hAnsi="Cambria Math"/>
                                <w:lang w:eastAsia="ro-RO"/>
                              </w:rPr>
                              <m:t>CCrci</m:t>
                            </m:r>
                          </m:sub>
                        </m:sSub>
                      </m:num>
                      <m:den>
                        <m:sSub>
                          <m:sSubPr>
                            <m:ctrlPr>
                              <w:rPr>
                                <w:rFonts w:ascii="Cambria Math" w:hAnsi="Cambria Math"/>
                                <w:lang w:eastAsia="ro-RO"/>
                              </w:rPr>
                            </m:ctrlPr>
                          </m:sSubPr>
                          <m:e>
                            <m:r>
                              <w:rPr>
                                <w:rFonts w:ascii="Cambria Math" w:hAnsi="Cambria Math"/>
                                <w:lang w:eastAsia="ro-RO"/>
                              </w:rPr>
                              <m:t>I</m:t>
                            </m:r>
                          </m:e>
                          <m:sub>
                            <m:r>
                              <w:rPr>
                                <w:rFonts w:ascii="Cambria Math" w:hAnsi="Cambria Math"/>
                                <w:lang w:eastAsia="ro-RO"/>
                              </w:rPr>
                              <m:t>CClrci</m:t>
                            </m:r>
                          </m:sub>
                        </m:sSub>
                      </m:den>
                    </m:f>
                  </m:e>
                </m:nary>
              </m:oMath>
            </m:oMathPara>
          </w:p>
          <w:p w14:paraId="12D3A136" w14:textId="77777777" w:rsidR="00EA4A4C" w:rsidRPr="00DD5E00" w:rsidRDefault="00EA4A4C" w:rsidP="00EA4A4C">
            <w:pPr>
              <w:jc w:val="both"/>
              <w:rPr>
                <w:lang w:eastAsia="ro-RO"/>
              </w:rPr>
            </w:pPr>
          </w:p>
          <w:p w14:paraId="5BDC6217" w14:textId="77777777" w:rsidR="00EA4A4C" w:rsidRPr="00635FA5" w:rsidRDefault="00EA4A4C" w:rsidP="00EA4A4C">
            <w:pPr>
              <w:ind w:firstLine="708"/>
              <w:jc w:val="both"/>
              <w:rPr>
                <w:lang w:eastAsia="ro-RO"/>
              </w:rPr>
            </w:pPr>
            <w:r w:rsidRPr="00635FA5">
              <w:rPr>
                <w:lang w:eastAsia="ro-RO"/>
              </w:rPr>
              <w:t xml:space="preserve">Cu condiția ca </w:t>
            </w: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sl</m:t>
                  </m:r>
                </m:sub>
              </m:sSub>
              <m:r>
                <m:rPr>
                  <m:sty m:val="p"/>
                </m:rPr>
                <w:rPr>
                  <w:rFonts w:ascii="Cambria Math" w:hAnsi="Cambria Math"/>
                  <w:lang w:eastAsia="ro-RO"/>
                </w:rPr>
                <m:t>=</m:t>
              </m:r>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r>
                <m:rPr>
                  <m:sty m:val="p"/>
                </m:rPr>
                <w:rPr>
                  <w:rFonts w:ascii="Cambria Math" w:hAnsi="Cambria Math"/>
                  <w:lang w:eastAsia="ro-RO"/>
                </w:rPr>
                <m:t>+</m:t>
              </m:r>
              <m:nary>
                <m:naryPr>
                  <m:chr m:val="∑"/>
                  <m:limLoc m:val="undOvr"/>
                  <m:ctrlPr>
                    <w:rPr>
                      <w:rFonts w:ascii="Cambria Math" w:hAnsi="Cambria Math"/>
                      <w:lang w:eastAsia="ro-RO"/>
                    </w:rPr>
                  </m:ctrlPr>
                </m:naryPr>
                <m:sub>
                  <m:r>
                    <w:rPr>
                      <w:rFonts w:ascii="Cambria Math" w:hAnsi="Cambria Math"/>
                      <w:lang w:eastAsia="ro-RO"/>
                    </w:rPr>
                    <m:t>i</m:t>
                  </m:r>
                  <m:r>
                    <m:rPr>
                      <m:sty m:val="p"/>
                    </m:rPr>
                    <w:rPr>
                      <w:rFonts w:ascii="Cambria Math" w:hAnsi="Cambria Math"/>
                      <w:lang w:eastAsia="ro-RO"/>
                    </w:rPr>
                    <m:t>=1</m:t>
                  </m:r>
                </m:sub>
                <m:sup>
                  <m:r>
                    <m:rPr>
                      <m:sty m:val="p"/>
                    </m:rPr>
                    <w:rPr>
                      <w:rFonts w:ascii="Cambria Math" w:hAnsi="Cambria Math"/>
                      <w:lang w:eastAsia="ro-RO"/>
                    </w:rPr>
                    <m:t>10</m:t>
                  </m:r>
                </m:sup>
                <m:e>
                  <m:sSub>
                    <m:sSubPr>
                      <m:ctrlPr>
                        <w:rPr>
                          <w:rFonts w:ascii="Cambria Math" w:hAnsi="Cambria Math"/>
                          <w:lang w:eastAsia="ro-RO"/>
                        </w:rPr>
                      </m:ctrlPr>
                    </m:sSubPr>
                    <m:e>
                      <m:r>
                        <w:rPr>
                          <w:rFonts w:ascii="Cambria Math" w:hAnsi="Cambria Math"/>
                          <w:lang w:eastAsia="ro-RO"/>
                        </w:rPr>
                        <m:t>c</m:t>
                      </m:r>
                    </m:e>
                    <m:sub>
                      <m:r>
                        <w:rPr>
                          <w:rFonts w:ascii="Cambria Math" w:hAnsi="Cambria Math"/>
                          <w:lang w:eastAsia="ro-RO"/>
                        </w:rPr>
                        <m:t>i</m:t>
                      </m:r>
                    </m:sub>
                  </m:sSub>
                </m:e>
              </m:nary>
            </m:oMath>
          </w:p>
          <w:p w14:paraId="30AC0584" w14:textId="77777777" w:rsidR="00EA4A4C" w:rsidRPr="00635FA5" w:rsidRDefault="00EA4A4C" w:rsidP="00EA4A4C">
            <w:pPr>
              <w:ind w:firstLine="708"/>
              <w:jc w:val="both"/>
              <w:rPr>
                <w:lang w:eastAsia="ro-RO"/>
              </w:rPr>
            </w:pPr>
            <w:r w:rsidRPr="00635FA5">
              <w:rPr>
                <w:lang w:eastAsia="ro-RO"/>
              </w:rPr>
              <w:t>Unde:</w:t>
            </w:r>
          </w:p>
          <w:p w14:paraId="525C67C7" w14:textId="77777777" w:rsidR="00EA4A4C" w:rsidRPr="00635FA5" w:rsidRDefault="004F3247" w:rsidP="00EA4A4C">
            <w:pPr>
              <w:ind w:firstLine="720"/>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apl</m:t>
                  </m:r>
                </m:sub>
              </m:sSub>
            </m:oMath>
            <w:r w:rsidR="00EA4A4C" w:rsidRPr="00635FA5">
              <w:rPr>
                <w:lang w:eastAsia="ro-RO"/>
              </w:rPr>
              <w:tab/>
              <w:t>- valoarea actualizată a plății solicitată de către contractant la data depunerii solicitării de plată;</w:t>
            </w:r>
          </w:p>
          <w:p w14:paraId="3E061A6E" w14:textId="77777777" w:rsidR="00EA4A4C" w:rsidRPr="00635FA5" w:rsidRDefault="004F3247" w:rsidP="00EA4A4C">
            <w:pPr>
              <w:ind w:firstLine="708"/>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pl</m:t>
                  </m:r>
                </m:sub>
              </m:sSub>
            </m:oMath>
            <w:r w:rsidR="00EA4A4C" w:rsidRPr="00635FA5">
              <w:rPr>
                <w:lang w:eastAsia="ro-RO"/>
              </w:rPr>
              <w:tab/>
              <w:t>- valoarea plății solicitată de către contractant la data depunerii solicitării de plată care nu face obiectul actualizării;</w:t>
            </w:r>
          </w:p>
          <w:p w14:paraId="0B30BF56" w14:textId="77777777" w:rsidR="00EA4A4C" w:rsidRPr="00635FA5" w:rsidRDefault="004F3247" w:rsidP="00EA4A4C">
            <w:pPr>
              <w:ind w:firstLine="708"/>
              <w:jc w:val="both"/>
              <w:rPr>
                <w:lang w:eastAsia="ro-RO"/>
              </w:rPr>
            </w:pPr>
            <m:oMath>
              <m:sSub>
                <m:sSubPr>
                  <m:ctrlPr>
                    <w:rPr>
                      <w:rFonts w:ascii="Cambria Math" w:hAnsi="Cambria Math"/>
                      <w:lang w:eastAsia="ro-RO"/>
                    </w:rPr>
                  </m:ctrlPr>
                </m:sSubPr>
                <m:e>
                  <m:r>
                    <w:rPr>
                      <w:rFonts w:ascii="Cambria Math" w:hAnsi="Cambria Math"/>
                      <w:lang w:eastAsia="ro-RO"/>
                    </w:rPr>
                    <m:t>V</m:t>
                  </m:r>
                </m:e>
                <m:sub>
                  <m:r>
                    <w:rPr>
                      <w:rFonts w:ascii="Cambria Math" w:hAnsi="Cambria Math"/>
                      <w:lang w:eastAsia="ro-RO"/>
                    </w:rPr>
                    <m:t>sl</m:t>
                  </m:r>
                </m:sub>
              </m:sSub>
            </m:oMath>
            <w:r w:rsidR="00EA4A4C" w:rsidRPr="00635FA5">
              <w:rPr>
                <w:lang w:eastAsia="ro-RO"/>
              </w:rPr>
              <w:t xml:space="preserve"> – valoarea situațiilor de lucrări neactualizată depusă la plată de către contractant conform graficelor de execuție;</w:t>
            </w:r>
          </w:p>
          <w:p w14:paraId="682903C2" w14:textId="77777777" w:rsidR="00EA4A4C" w:rsidRPr="00635FA5" w:rsidRDefault="004F3247" w:rsidP="00EA4A4C">
            <w:pPr>
              <w:ind w:firstLine="708"/>
              <w:jc w:val="both"/>
              <w:rPr>
                <w:lang w:eastAsia="ro-RO"/>
              </w:rPr>
            </w:pPr>
            <m:oMath>
              <m:sSub>
                <m:sSubPr>
                  <m:ctrlPr>
                    <w:rPr>
                      <w:rFonts w:ascii="Cambria Math" w:hAnsi="Cambria Math"/>
                      <w:lang w:eastAsia="ro-RO"/>
                    </w:rPr>
                  </m:ctrlPr>
                </m:sSubPr>
                <m:e>
                  <m:r>
                    <w:rPr>
                      <w:rFonts w:ascii="Cambria Math" w:hAnsi="Cambria Math"/>
                      <w:lang w:eastAsia="ro-RO"/>
                    </w:rPr>
                    <m:t>c</m:t>
                  </m:r>
                </m:e>
                <m:sub>
                  <m:r>
                    <w:rPr>
                      <w:rFonts w:ascii="Cambria Math" w:hAnsi="Cambria Math"/>
                      <w:lang w:eastAsia="ro-RO"/>
                    </w:rPr>
                    <m:t>i</m:t>
                  </m:r>
                </m:sub>
              </m:sSub>
            </m:oMath>
            <w:r w:rsidR="00EA4A4C" w:rsidRPr="00635FA5">
              <w:rPr>
                <w:lang w:eastAsia="ro-RO"/>
              </w:rPr>
              <w:t xml:space="preserve"> – valoarea elementului de cost semnificativ care este defalcat de către contractant la data depunerii ofertei de preț;</w:t>
            </w:r>
          </w:p>
          <w:p w14:paraId="08820831" w14:textId="77777777" w:rsidR="00EA4A4C" w:rsidRPr="00635FA5" w:rsidRDefault="004F3247" w:rsidP="00EA4A4C">
            <w:pPr>
              <w:ind w:firstLine="708"/>
              <w:jc w:val="both"/>
              <w:rPr>
                <w:lang w:eastAsia="ro-RO"/>
              </w:rPr>
            </w:pPr>
            <m:oMath>
              <m:sSub>
                <m:sSubPr>
                  <m:ctrlPr>
                    <w:rPr>
                      <w:rFonts w:ascii="Cambria Math" w:hAnsi="Cambria Math"/>
                      <w:lang w:eastAsia="ro-RO"/>
                    </w:rPr>
                  </m:ctrlPr>
                </m:sSubPr>
                <m:e>
                  <m:r>
                    <w:rPr>
                      <w:rFonts w:ascii="Cambria Math" w:hAnsi="Cambria Math"/>
                      <w:lang w:eastAsia="ro-RO"/>
                    </w:rPr>
                    <m:t>I</m:t>
                  </m:r>
                </m:e>
                <m:sub>
                  <m:r>
                    <w:rPr>
                      <w:rFonts w:ascii="Cambria Math" w:hAnsi="Cambria Math"/>
                      <w:lang w:eastAsia="ro-RO"/>
                    </w:rPr>
                    <m:t>CCrci</m:t>
                  </m:r>
                </m:sub>
              </m:sSub>
            </m:oMath>
            <w:r w:rsidR="00EA4A4C" w:rsidRPr="00635FA5">
              <w:rPr>
                <w:lang w:eastAsia="ro-RO"/>
              </w:rPr>
              <w:t xml:space="preserve"> – Indicele de cost pentru materialele semnificative sau alte elemente de cost semnificative publicate periodic de Institutul Național de Statistică, valabile cu 60 de zile înainte de ultima zi din luna de referință ”n” de depunere a situației de plată;</w:t>
            </w:r>
          </w:p>
          <w:p w14:paraId="7F80E3B0" w14:textId="77777777" w:rsidR="00EA4A4C" w:rsidRPr="00635FA5" w:rsidRDefault="004F3247" w:rsidP="00EA4A4C">
            <w:pPr>
              <w:ind w:firstLine="708"/>
              <w:jc w:val="both"/>
              <w:rPr>
                <w:lang w:eastAsia="ro-RO"/>
              </w:rPr>
            </w:pPr>
            <m:oMath>
              <m:sSub>
                <m:sSubPr>
                  <m:ctrlPr>
                    <w:rPr>
                      <w:rFonts w:ascii="Cambria Math" w:hAnsi="Cambria Math"/>
                      <w:lang w:eastAsia="ro-RO"/>
                    </w:rPr>
                  </m:ctrlPr>
                </m:sSubPr>
                <m:e>
                  <m:r>
                    <w:rPr>
                      <w:rFonts w:ascii="Cambria Math" w:hAnsi="Cambria Math"/>
                      <w:lang w:eastAsia="ro-RO"/>
                    </w:rPr>
                    <m:t>I</m:t>
                  </m:r>
                </m:e>
                <m:sub>
                  <m:r>
                    <w:rPr>
                      <w:rFonts w:ascii="Cambria Math" w:hAnsi="Cambria Math"/>
                      <w:lang w:eastAsia="ro-RO"/>
                    </w:rPr>
                    <m:t>CClrci</m:t>
                  </m:r>
                </m:sub>
              </m:sSub>
            </m:oMath>
            <w:r w:rsidR="00EA4A4C" w:rsidRPr="00635FA5">
              <w:rPr>
                <w:lang w:eastAsia="ro-RO"/>
              </w:rPr>
              <w:t xml:space="preserve"> - Indicele de cost pentru materialele semnificative sau alte elemente de cost semnificative publicate periodic de Institutul Național de Statistică, valabile cu 30 de zile înainte de data depunerii ofertei;</w:t>
            </w:r>
          </w:p>
          <w:p w14:paraId="0EABD75E" w14:textId="77777777" w:rsidR="00EA4A4C" w:rsidRPr="00DD5E00" w:rsidRDefault="00EA4A4C" w:rsidP="00EA4A4C">
            <w:pPr>
              <w:jc w:val="both"/>
              <w:rPr>
                <w:lang w:eastAsia="ro-RO"/>
              </w:rPr>
            </w:pPr>
          </w:p>
          <w:p w14:paraId="7171F182" w14:textId="77777777" w:rsidR="00EA4A4C" w:rsidRPr="00DD5E00" w:rsidRDefault="00EA4A4C" w:rsidP="00EA4A4C">
            <w:pPr>
              <w:jc w:val="both"/>
              <w:rPr>
                <w:lang w:eastAsia="ro-RO"/>
              </w:rPr>
            </w:pPr>
            <w:r w:rsidRPr="00DD5E00">
              <w:rPr>
                <w:lang w:eastAsia="ro-RO"/>
              </w:rPr>
              <w:t xml:space="preserve">Prin element de cost semnificativ se înțelege orice categorie de cost specifică de natura materialelor, manoperei, utilajelor, echipamentelor și altor categorii de costuri de natură similară care dețin o pondere însemnată în valoarea proiectului de infrastructură și sunt strict necesare pentru implementarea acestuia. </w:t>
            </w:r>
          </w:p>
          <w:p w14:paraId="4D1E8E8F" w14:textId="1B329FC2" w:rsidR="0084215A" w:rsidRDefault="00EA4A4C" w:rsidP="0061096F">
            <w:pPr>
              <w:jc w:val="both"/>
              <w:rPr>
                <w:lang w:eastAsia="ro-RO"/>
              </w:rPr>
            </w:pPr>
            <w:r w:rsidRPr="00DD5E00">
              <w:rPr>
                <w:lang w:eastAsia="ro-RO"/>
              </w:rPr>
              <w:t>Elementele de cost semnificative pentru proiectele de infrastructură de transport de interes național sau european/</w:t>
            </w:r>
            <w:r>
              <w:rPr>
                <w:lang w:eastAsia="ro-RO"/>
              </w:rPr>
              <w:t xml:space="preserve"> </w:t>
            </w:r>
            <w:r w:rsidRPr="00DD5E00">
              <w:rPr>
                <w:lang w:eastAsia="ro-RO"/>
              </w:rPr>
              <w:t>proiectele de infrastructură de apă-apă uzată și deșeuri, se stabilesc în număr de maxim 10 pe fiecare categorie de proiect de infrastructură prin act normativ de nivel terțiar.</w:t>
            </w:r>
          </w:p>
          <w:p w14:paraId="00278FC6" w14:textId="77777777" w:rsidR="0061096F" w:rsidRPr="00635FA5" w:rsidRDefault="0061096F" w:rsidP="0061096F">
            <w:pPr>
              <w:jc w:val="both"/>
              <w:rPr>
                <w:lang w:eastAsia="ro-RO"/>
              </w:rPr>
            </w:pPr>
          </w:p>
          <w:p w14:paraId="65DC401B" w14:textId="22D05AAB" w:rsidR="00223491" w:rsidRPr="00DD5E00" w:rsidRDefault="00223491" w:rsidP="00A902E1">
            <w:pPr>
              <w:pStyle w:val="ListParagraph"/>
              <w:numPr>
                <w:ilvl w:val="1"/>
                <w:numId w:val="17"/>
              </w:numPr>
              <w:autoSpaceDE w:val="0"/>
              <w:autoSpaceDN w:val="0"/>
              <w:adjustRightInd w:val="0"/>
              <w:spacing w:after="120"/>
              <w:jc w:val="both"/>
              <w:rPr>
                <w:rFonts w:ascii="Times New Roman" w:eastAsia="Times New Roman" w:hAnsi="Times New Roman" w:cs="Times New Roman"/>
                <w:b/>
                <w:lang w:eastAsia="ro-RO"/>
              </w:rPr>
            </w:pPr>
            <w:r w:rsidRPr="00DD5E00">
              <w:rPr>
                <w:rFonts w:ascii="Times New Roman" w:eastAsia="Times New Roman" w:hAnsi="Times New Roman" w:cs="Times New Roman"/>
                <w:b/>
                <w:lang w:eastAsia="ro-RO"/>
              </w:rPr>
              <w:t>Alte informații</w:t>
            </w:r>
            <w:r w:rsidR="0064777F" w:rsidRPr="00DD5E00">
              <w:rPr>
                <w:rFonts w:ascii="Times New Roman" w:eastAsia="Times New Roman" w:hAnsi="Times New Roman" w:cs="Times New Roman"/>
                <w:b/>
                <w:lang w:eastAsia="ro-RO"/>
              </w:rPr>
              <w:t xml:space="preserve"> *)</w:t>
            </w:r>
          </w:p>
          <w:p w14:paraId="45862F79" w14:textId="37A08FE7" w:rsidR="00A902E1" w:rsidRPr="00DD5E00" w:rsidRDefault="00DD5E00" w:rsidP="00A902E1">
            <w:pPr>
              <w:pStyle w:val="ListParagraph"/>
              <w:autoSpaceDE w:val="0"/>
              <w:autoSpaceDN w:val="0"/>
              <w:adjustRightInd w:val="0"/>
              <w:spacing w:after="120"/>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Nu au fost identificate</w:t>
            </w:r>
          </w:p>
        </w:tc>
      </w:tr>
    </w:tbl>
    <w:p w14:paraId="2DB4CCB7" w14:textId="77777777" w:rsidR="003864F6" w:rsidRPr="00635FA5" w:rsidRDefault="00DB715E" w:rsidP="008838DB">
      <w:pPr>
        <w:spacing w:after="120"/>
        <w:rPr>
          <w:b/>
        </w:rPr>
      </w:pPr>
      <w:r w:rsidRPr="00635FA5">
        <w:rPr>
          <w:b/>
        </w:rPr>
        <w:lastRenderedPageBreak/>
        <w:t xml:space="preserve">   </w:t>
      </w:r>
      <w:r w:rsidR="007C16BF" w:rsidRPr="00635FA5">
        <w:rPr>
          <w:b/>
        </w:rPr>
        <w:t xml:space="preserve">   </w:t>
      </w:r>
    </w:p>
    <w:p w14:paraId="4794020D" w14:textId="141F7D6C" w:rsidR="00223491" w:rsidRPr="00635FA5" w:rsidRDefault="003864F6" w:rsidP="008838DB">
      <w:pPr>
        <w:spacing w:after="120"/>
        <w:ind w:firstLine="720"/>
        <w:rPr>
          <w:b/>
        </w:rPr>
      </w:pPr>
      <w:r w:rsidRPr="00635FA5">
        <w:rPr>
          <w:b/>
        </w:rPr>
        <w:t>Secțiunea</w:t>
      </w:r>
      <w:r w:rsidR="00670C79" w:rsidRPr="00635FA5">
        <w:rPr>
          <w:b/>
        </w:rPr>
        <w:t xml:space="preserve"> a 3-a </w:t>
      </w:r>
    </w:p>
    <w:p w14:paraId="4E4A7A8E" w14:textId="485C7CAC" w:rsidR="00670C79" w:rsidRPr="00635FA5" w:rsidRDefault="00670C79" w:rsidP="008838DB">
      <w:pPr>
        <w:spacing w:after="120"/>
        <w:ind w:firstLine="720"/>
        <w:rPr>
          <w:b/>
        </w:rPr>
      </w:pPr>
      <w:r w:rsidRPr="00635FA5">
        <w:rPr>
          <w:b/>
        </w:rPr>
        <w:t xml:space="preserve">Impactul socioeconomic </w:t>
      </w:r>
      <w:r w:rsidR="0064777F" w:rsidRPr="00635FA5">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635FA5" w14:paraId="4F7B7B5A" w14:textId="77777777" w:rsidTr="00D81420">
        <w:tc>
          <w:tcPr>
            <w:tcW w:w="10533" w:type="dxa"/>
          </w:tcPr>
          <w:p w14:paraId="612A275C" w14:textId="4BB50FE7" w:rsidR="00F72189" w:rsidRDefault="00F72189" w:rsidP="008838DB">
            <w:pPr>
              <w:spacing w:after="120"/>
              <w:jc w:val="both"/>
              <w:rPr>
                <w:b/>
              </w:rPr>
            </w:pPr>
            <w:r w:rsidRPr="00635FA5">
              <w:rPr>
                <w:b/>
              </w:rPr>
              <w:lastRenderedPageBreak/>
              <w:t>3.1 Descrierea generală a beneficiilor și costurilor estimate ca urmare a intrării în vigoare a actului normativ</w:t>
            </w:r>
          </w:p>
          <w:p w14:paraId="7C3000C8" w14:textId="732865C5" w:rsidR="00DD5E00" w:rsidRPr="00DD5E00" w:rsidRDefault="00DD5E00" w:rsidP="008838DB">
            <w:pPr>
              <w:spacing w:after="120"/>
              <w:jc w:val="both"/>
              <w:rPr>
                <w:b/>
                <w:bCs/>
              </w:rPr>
            </w:pPr>
            <w:r w:rsidRPr="007E0AE4">
              <w:t>Proiectul de act normativ nu se referă la acest subiect.</w:t>
            </w:r>
          </w:p>
          <w:p w14:paraId="0675353F" w14:textId="77777777" w:rsidR="00F72189" w:rsidRPr="00635FA5" w:rsidRDefault="00F72189" w:rsidP="008838DB">
            <w:pPr>
              <w:spacing w:after="120"/>
              <w:jc w:val="both"/>
              <w:rPr>
                <w:b/>
              </w:rPr>
            </w:pPr>
            <w:r w:rsidRPr="00635FA5">
              <w:rPr>
                <w:b/>
              </w:rPr>
              <w:t>3.2 Impactul social</w:t>
            </w:r>
          </w:p>
          <w:p w14:paraId="49A1440B" w14:textId="77777777" w:rsidR="00DD5E00" w:rsidRPr="00635FA5" w:rsidRDefault="00DD5E00" w:rsidP="00DD5E00">
            <w:pPr>
              <w:spacing w:after="120"/>
              <w:jc w:val="both"/>
              <w:rPr>
                <w:b/>
                <w:bCs/>
              </w:rPr>
            </w:pPr>
            <w:r w:rsidRPr="007E0AE4">
              <w:t>Proiectul de act normativ nu se referă la acest subiect.</w:t>
            </w:r>
          </w:p>
          <w:p w14:paraId="039A336E" w14:textId="3AF48FE4" w:rsidR="00A902E1" w:rsidRDefault="00F72189" w:rsidP="00DD5E00">
            <w:pPr>
              <w:pStyle w:val="ListParagraph"/>
              <w:numPr>
                <w:ilvl w:val="1"/>
                <w:numId w:val="15"/>
              </w:numPr>
              <w:tabs>
                <w:tab w:val="left" w:pos="741"/>
              </w:tabs>
              <w:spacing w:after="120"/>
              <w:ind w:left="457" w:hanging="457"/>
              <w:jc w:val="both"/>
              <w:rPr>
                <w:rFonts w:ascii="Times New Roman" w:eastAsia="Times New Roman" w:hAnsi="Times New Roman" w:cs="Times New Roman"/>
                <w:b/>
              </w:rPr>
            </w:pPr>
            <w:r w:rsidRPr="00A902E1">
              <w:rPr>
                <w:rFonts w:ascii="Times New Roman" w:eastAsia="Times New Roman" w:hAnsi="Times New Roman" w:cs="Times New Roman"/>
                <w:b/>
              </w:rPr>
              <w:t xml:space="preserve">Impactul asupra drepturilor și libertăților fundamentale ale omului </w:t>
            </w:r>
          </w:p>
          <w:p w14:paraId="443BDD5B" w14:textId="77777777" w:rsidR="00DD5E00" w:rsidRPr="00635FA5" w:rsidRDefault="00DD5E00" w:rsidP="00DD5E00">
            <w:pPr>
              <w:spacing w:after="120"/>
              <w:jc w:val="both"/>
              <w:rPr>
                <w:b/>
                <w:bCs/>
              </w:rPr>
            </w:pPr>
            <w:r w:rsidRPr="007E0AE4">
              <w:t>Proiectul de act normativ nu se referă la acest subiect.</w:t>
            </w:r>
          </w:p>
          <w:p w14:paraId="139B6ECC" w14:textId="01663062" w:rsidR="00FB45DC" w:rsidRPr="00DD5E00" w:rsidRDefault="00FD3526" w:rsidP="00DD5E00">
            <w:pPr>
              <w:pStyle w:val="ListParagraph"/>
              <w:numPr>
                <w:ilvl w:val="1"/>
                <w:numId w:val="15"/>
              </w:numPr>
              <w:spacing w:after="120"/>
              <w:ind w:left="457" w:hanging="425"/>
              <w:jc w:val="both"/>
              <w:rPr>
                <w:rFonts w:ascii="Times New Roman" w:eastAsia="Times New Roman" w:hAnsi="Times New Roman" w:cs="Times New Roman"/>
                <w:b/>
              </w:rPr>
            </w:pPr>
            <w:r w:rsidRPr="00DD5E00">
              <w:rPr>
                <w:rFonts w:ascii="Times New Roman" w:eastAsia="Times New Roman" w:hAnsi="Times New Roman" w:cs="Times New Roman"/>
                <w:b/>
              </w:rPr>
              <w:t>Impactul macroeconomic</w:t>
            </w:r>
          </w:p>
          <w:p w14:paraId="298655FD" w14:textId="34D98BAC" w:rsidR="00736249" w:rsidRPr="001C4BA6" w:rsidRDefault="00736249" w:rsidP="00736249">
            <w:pPr>
              <w:spacing w:after="120"/>
              <w:jc w:val="both"/>
            </w:pPr>
            <w:r w:rsidRPr="001C4BA6">
              <w:t>Finanțarea externă nerambursabilă c</w:t>
            </w:r>
            <w:r>
              <w:t>are va asifura finanțarea proiectelor aflate în implementare</w:t>
            </w:r>
            <w:r w:rsidRPr="001C4BA6">
              <w:t xml:space="preserve"> reprezintă o nevoie reală pentru pentru domeniul </w:t>
            </w:r>
            <w:r>
              <w:t>construcțiilor</w:t>
            </w:r>
            <w:r w:rsidR="00615991">
              <w:t xml:space="preserve"> și de producție</w:t>
            </w:r>
            <w:r w:rsidRPr="001C4BA6">
              <w:t>, cu impact major asupra echilibrelor macroeconimoce ale României.</w:t>
            </w:r>
          </w:p>
          <w:p w14:paraId="219D9E9B" w14:textId="07DC98AB" w:rsidR="00736249" w:rsidRDefault="00736249" w:rsidP="00736249">
            <w:pPr>
              <w:spacing w:after="120"/>
              <w:jc w:val="both"/>
            </w:pPr>
            <w:r w:rsidRPr="001C4BA6">
              <w:t xml:space="preserve">Măsurile de sprijin acordate prin prezenta ordonanță pentru relansarea activității economice la nivel național influențează direct capacitatea entităților din domeniul </w:t>
            </w:r>
            <w:r>
              <w:t>construcțiilor</w:t>
            </w:r>
            <w:r w:rsidR="00615991">
              <w:t xml:space="preserve"> și de producție</w:t>
            </w:r>
            <w:r w:rsidRPr="001C4BA6">
              <w:t>, iar neadoptarea acestor măsuri de sprijin va avea ca efect grave dificultăți în desfășurarea activităților directe, cu impact direct asupra veniturilor la bugetului de stat, dar și asupra ratei șomajului la nive național.</w:t>
            </w:r>
          </w:p>
          <w:p w14:paraId="0C2C5A00" w14:textId="37064D9F" w:rsidR="00736249" w:rsidRPr="00210A61" w:rsidRDefault="00736249" w:rsidP="00736249">
            <w:pPr>
              <w:autoSpaceDE w:val="0"/>
              <w:autoSpaceDN w:val="0"/>
              <w:adjustRightInd w:val="0"/>
              <w:spacing w:after="120"/>
              <w:jc w:val="both"/>
              <w:rPr>
                <w:lang w:eastAsia="en-GB"/>
              </w:rPr>
            </w:pPr>
            <w:r w:rsidRPr="00210A61">
              <w:rPr>
                <w:lang w:eastAsia="en-GB"/>
              </w:rPr>
              <w:t xml:space="preserve">Rezultatele acestor măsuri vor avea ca efect menținerea în activitate </w:t>
            </w:r>
            <w:r w:rsidR="00615991">
              <w:rPr>
                <w:lang w:eastAsia="en-GB"/>
              </w:rPr>
              <w:t xml:space="preserve">microîntreprinderilor, </w:t>
            </w:r>
            <w:r w:rsidRPr="00210A61">
              <w:rPr>
                <w:lang w:eastAsia="en-GB"/>
              </w:rPr>
              <w:t>IMM-urilor</w:t>
            </w:r>
            <w:r w:rsidR="00615991">
              <w:rPr>
                <w:lang w:eastAsia="en-GB"/>
              </w:rPr>
              <w:t xml:space="preserve"> și Întreprinderilor mari din domeniul construcțiilor și de producție</w:t>
            </w:r>
            <w:r w:rsidRPr="00210A61">
              <w:rPr>
                <w:lang w:eastAsia="en-GB"/>
              </w:rPr>
              <w:t xml:space="preserve">, implicit a locurilor de muncă furnizate de acestea pe perioada în care se </w:t>
            </w:r>
            <w:r>
              <w:rPr>
                <w:lang w:eastAsia="en-GB"/>
              </w:rPr>
              <w:t>resimt acut în economie</w:t>
            </w:r>
            <w:r w:rsidRPr="00210A61">
              <w:rPr>
                <w:lang w:eastAsia="en-GB"/>
              </w:rPr>
              <w:t xml:space="preserve"> efectele </w:t>
            </w:r>
            <w:r>
              <w:rPr>
                <w:lang w:eastAsia="en-GB"/>
              </w:rPr>
              <w:t xml:space="preserve">pandemiei </w:t>
            </w:r>
            <w:r w:rsidRPr="00210A61">
              <w:rPr>
                <w:lang w:eastAsia="en-GB"/>
              </w:rPr>
              <w:t>COVID – 19.</w:t>
            </w:r>
          </w:p>
          <w:p w14:paraId="43175C10" w14:textId="77777777" w:rsidR="00736249" w:rsidRPr="005262E5" w:rsidRDefault="00736249" w:rsidP="00736249">
            <w:pPr>
              <w:spacing w:after="120"/>
              <w:jc w:val="both"/>
              <w:rPr>
                <w:b/>
              </w:rPr>
            </w:pPr>
            <w:r w:rsidRPr="005262E5">
              <w:rPr>
                <w:b/>
              </w:rPr>
              <w:t>3.4.2 Impactul asupra mediului concurențial si domeniului ajutoarelor de stat</w:t>
            </w:r>
          </w:p>
          <w:p w14:paraId="672B88CF" w14:textId="11E3CDCB" w:rsidR="00736249" w:rsidRPr="001C4BA6" w:rsidRDefault="00736249" w:rsidP="00736249">
            <w:pPr>
              <w:spacing w:after="120"/>
              <w:jc w:val="both"/>
            </w:pPr>
            <w:r w:rsidRPr="005262E5">
              <w:t xml:space="preserve">    </w:t>
            </w:r>
            <w:r w:rsidRPr="000E4B24">
              <w:t xml:space="preserve">Prin corelarea măsurilor adoptate cu cele prevăzute în Comunicarea Comisiei privind Cadrul temporar în materie de ajutor de stat în contextul pandemiei COVID 19 se asigură compatibilitatea măsurilor de ajutor de stat avute în vedere cu legislația europeană în domeniu. </w:t>
            </w:r>
          </w:p>
          <w:p w14:paraId="5D645A5F" w14:textId="3FAD3193" w:rsidR="00F72189" w:rsidRPr="00635FA5" w:rsidRDefault="00F72189" w:rsidP="008838DB">
            <w:pPr>
              <w:spacing w:after="120"/>
              <w:jc w:val="both"/>
              <w:rPr>
                <w:b/>
              </w:rPr>
            </w:pPr>
            <w:r w:rsidRPr="00635FA5">
              <w:rPr>
                <w:b/>
              </w:rPr>
              <w:t>3.</w:t>
            </w:r>
            <w:r w:rsidR="00FD3526" w:rsidRPr="00635FA5">
              <w:rPr>
                <w:b/>
              </w:rPr>
              <w:t>5</w:t>
            </w:r>
            <w:r w:rsidRPr="00635FA5">
              <w:rPr>
                <w:b/>
              </w:rPr>
              <w:t>. Impactul asupra mediului de afaceri</w:t>
            </w:r>
          </w:p>
          <w:p w14:paraId="28E3410E" w14:textId="515A4992" w:rsidR="00615991" w:rsidRPr="005262E5" w:rsidRDefault="00615991" w:rsidP="00615991">
            <w:pPr>
              <w:spacing w:after="120"/>
              <w:jc w:val="both"/>
              <w:rPr>
                <w:noProof/>
              </w:rPr>
            </w:pPr>
            <w:r w:rsidRPr="005262E5">
              <w:rPr>
                <w:noProof/>
              </w:rPr>
              <w:t xml:space="preserve">Impactul financiar va fi pozitiv prin menținerea în funcțiune a </w:t>
            </w:r>
            <w:r w:rsidRPr="00615991">
              <w:rPr>
                <w:noProof/>
              </w:rPr>
              <w:t>microîntreprinderilor, IMM-urilor și Întreprinderilor mari din domeniul construcțiilor și de producție</w:t>
            </w:r>
            <w:r w:rsidRPr="005262E5">
              <w:rPr>
                <w:noProof/>
              </w:rPr>
              <w:t xml:space="preserve"> existente </w:t>
            </w:r>
            <w:r>
              <w:rPr>
                <w:noProof/>
              </w:rPr>
              <w:t xml:space="preserve">având în vedere deblocarea șantierelor și asigurarea implementării proiectelor în condițiile actuale ale pieței. </w:t>
            </w:r>
          </w:p>
          <w:p w14:paraId="0371A2A3" w14:textId="078232CB" w:rsidR="00DD5E00" w:rsidRDefault="00FD3526" w:rsidP="008838DB">
            <w:pPr>
              <w:spacing w:after="120"/>
              <w:jc w:val="both"/>
              <w:rPr>
                <w:b/>
              </w:rPr>
            </w:pPr>
            <w:r w:rsidRPr="00635FA5">
              <w:rPr>
                <w:b/>
              </w:rPr>
              <w:t>3.6 Impactul asupra mediului înconjurător</w:t>
            </w:r>
          </w:p>
          <w:p w14:paraId="41ACF09B" w14:textId="0E1BDA84" w:rsidR="00031D8D" w:rsidRPr="00DD5E00" w:rsidRDefault="00DD5E00" w:rsidP="00DD5E00">
            <w:pPr>
              <w:spacing w:after="120"/>
              <w:jc w:val="both"/>
              <w:rPr>
                <w:b/>
                <w:bCs/>
              </w:rPr>
            </w:pPr>
            <w:r w:rsidRPr="007E0AE4">
              <w:t>Proiectul de act normativ nu se referă la acest subiect.</w:t>
            </w:r>
          </w:p>
          <w:p w14:paraId="55CFDA7E" w14:textId="3945FB0B" w:rsidR="00FD3526" w:rsidRPr="00A902E1" w:rsidRDefault="00FD3526" w:rsidP="008838DB">
            <w:pPr>
              <w:spacing w:after="120"/>
              <w:jc w:val="both"/>
              <w:rPr>
                <w:b/>
              </w:rPr>
            </w:pPr>
            <w:r w:rsidRPr="00A902E1">
              <w:rPr>
                <w:b/>
              </w:rPr>
              <w:t>3.7. Evaluarea costurilor și beneficiilor din perspectiva inovării și digitalizării</w:t>
            </w:r>
            <w:r w:rsidR="00A902E1">
              <w:rPr>
                <w:b/>
              </w:rPr>
              <w:t>-</w:t>
            </w:r>
          </w:p>
          <w:p w14:paraId="4590BA78" w14:textId="0A081008" w:rsidR="00031D8D" w:rsidRPr="00DD5E00" w:rsidRDefault="00031D8D" w:rsidP="008838DB">
            <w:pPr>
              <w:spacing w:after="120"/>
              <w:jc w:val="both"/>
              <w:rPr>
                <w:b/>
                <w:bCs/>
              </w:rPr>
            </w:pPr>
            <w:r w:rsidRPr="00A902E1">
              <w:rPr>
                <w:b/>
              </w:rPr>
              <w:t xml:space="preserve">    </w:t>
            </w:r>
            <w:r w:rsidR="00DD5E00" w:rsidRPr="007E0AE4">
              <w:t>Proiectul de act normativ nu se referă la acest subiect.</w:t>
            </w:r>
            <w:r w:rsidRPr="00A902E1">
              <w:rPr>
                <w:b/>
              </w:rPr>
              <w:t xml:space="preserve"> </w:t>
            </w:r>
          </w:p>
          <w:p w14:paraId="3CFEFC6B" w14:textId="6B7012DE" w:rsidR="00FD3526" w:rsidRPr="00A902E1" w:rsidRDefault="00FD3526" w:rsidP="008838DB">
            <w:pPr>
              <w:spacing w:after="120"/>
              <w:jc w:val="both"/>
              <w:rPr>
                <w:b/>
              </w:rPr>
            </w:pPr>
            <w:r w:rsidRPr="00A902E1">
              <w:rPr>
                <w:b/>
              </w:rPr>
              <w:t>3.8 Evaluarea costurilor și beneficiilor din perspectiva dezvoltării durabile</w:t>
            </w:r>
          </w:p>
          <w:p w14:paraId="6D361443" w14:textId="593BF5AF" w:rsidR="00DD5E00" w:rsidRPr="00DD5E00" w:rsidRDefault="00DD5E00" w:rsidP="008838DB">
            <w:pPr>
              <w:spacing w:after="120"/>
              <w:jc w:val="both"/>
              <w:rPr>
                <w:b/>
                <w:bCs/>
              </w:rPr>
            </w:pPr>
            <w:r w:rsidRPr="007E0AE4">
              <w:t>Proiectul de act normativ nu se referă la acest subiect.</w:t>
            </w:r>
          </w:p>
          <w:p w14:paraId="1A104825" w14:textId="77777777" w:rsidR="00FD3526" w:rsidRDefault="0046279C" w:rsidP="008F7D4B">
            <w:pPr>
              <w:spacing w:after="120"/>
              <w:jc w:val="both"/>
              <w:rPr>
                <w:b/>
              </w:rPr>
            </w:pPr>
            <w:r w:rsidRPr="00A902E1">
              <w:rPr>
                <w:b/>
              </w:rPr>
              <w:t xml:space="preserve">    </w:t>
            </w:r>
            <w:r w:rsidR="00FD3526" w:rsidRPr="00A902E1">
              <w:rPr>
                <w:b/>
              </w:rPr>
              <w:t>3.9. Alte informații</w:t>
            </w:r>
          </w:p>
          <w:p w14:paraId="041FB550" w14:textId="00642A71" w:rsidR="00A902E1" w:rsidRPr="00A902E1" w:rsidRDefault="00B73EBD" w:rsidP="00A902E1">
            <w:pPr>
              <w:tabs>
                <w:tab w:val="left" w:pos="741"/>
              </w:tabs>
              <w:spacing w:after="120"/>
              <w:jc w:val="both"/>
              <w:rPr>
                <w:b/>
              </w:rPr>
            </w:pPr>
            <w:r w:rsidRPr="007E0AE4">
              <w:t>Nu au fost identificate</w:t>
            </w:r>
          </w:p>
        </w:tc>
      </w:tr>
    </w:tbl>
    <w:p w14:paraId="40C7093F" w14:textId="5C8B0A07" w:rsidR="0025682E" w:rsidRPr="00635FA5" w:rsidRDefault="0025682E" w:rsidP="008838DB">
      <w:pPr>
        <w:spacing w:after="120"/>
        <w:ind w:left="180"/>
        <w:jc w:val="both"/>
        <w:rPr>
          <w:b/>
        </w:rPr>
      </w:pPr>
    </w:p>
    <w:p w14:paraId="20A2BC5C" w14:textId="77777777" w:rsidR="005A13C5" w:rsidRPr="00635FA5" w:rsidRDefault="00670C79" w:rsidP="008838DB">
      <w:pPr>
        <w:spacing w:after="120"/>
        <w:ind w:firstLine="720"/>
        <w:jc w:val="both"/>
        <w:rPr>
          <w:b/>
        </w:rPr>
      </w:pPr>
      <w:r w:rsidRPr="00635FA5">
        <w:rPr>
          <w:b/>
        </w:rPr>
        <w:t xml:space="preserve">Secţiunea a 4-a </w:t>
      </w:r>
    </w:p>
    <w:p w14:paraId="34AED0C5" w14:textId="5ABB9584" w:rsidR="00670C79" w:rsidRPr="00635FA5" w:rsidRDefault="00670C79" w:rsidP="008838DB">
      <w:pPr>
        <w:spacing w:after="120"/>
        <w:ind w:firstLine="720"/>
        <w:jc w:val="both"/>
        <w:rPr>
          <w:b/>
        </w:rPr>
      </w:pPr>
      <w:r w:rsidRPr="00635FA5">
        <w:rPr>
          <w:b/>
        </w:rPr>
        <w:t xml:space="preserve">Impactul financiar asupra bugetului </w:t>
      </w:r>
      <w:r w:rsidR="0064777F" w:rsidRPr="00635FA5">
        <w:rPr>
          <w:b/>
        </w:rPr>
        <w:t>general</w:t>
      </w:r>
      <w:r w:rsidRPr="00635FA5">
        <w:rPr>
          <w:b/>
        </w:rPr>
        <w:t xml:space="preserve"> consolidat atât pe termen scurt, pentru</w:t>
      </w:r>
      <w:r w:rsidR="00DB71DB" w:rsidRPr="00635FA5">
        <w:rPr>
          <w:b/>
        </w:rPr>
        <w:t xml:space="preserve"> </w:t>
      </w:r>
      <w:r w:rsidRPr="00635FA5">
        <w:rPr>
          <w:b/>
        </w:rPr>
        <w:t>anul curent, cât şi pe termen lung (pe 5 ani)</w:t>
      </w:r>
      <w:r w:rsidR="003034B1" w:rsidRPr="00635FA5">
        <w:rPr>
          <w:b/>
        </w:rPr>
        <w:t>, inclusiv informații cu privire la cheltuieli și venituri</w:t>
      </w:r>
      <w:r w:rsidR="0064777F" w:rsidRPr="00635FA5">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635FA5" w14:paraId="0C843357" w14:textId="77777777" w:rsidTr="00D81420">
        <w:tc>
          <w:tcPr>
            <w:tcW w:w="10533" w:type="dxa"/>
            <w:gridSpan w:val="7"/>
          </w:tcPr>
          <w:p w14:paraId="33061C9B" w14:textId="7824EB12" w:rsidR="009A76F9" w:rsidRPr="00635FA5" w:rsidRDefault="009A76F9" w:rsidP="008838DB">
            <w:pPr>
              <w:pStyle w:val="ListParagraph"/>
              <w:numPr>
                <w:ilvl w:val="0"/>
                <w:numId w:val="13"/>
              </w:numPr>
              <w:spacing w:after="120"/>
              <w:jc w:val="right"/>
              <w:rPr>
                <w:rFonts w:ascii="Times New Roman" w:hAnsi="Times New Roman" w:cs="Times New Roman"/>
              </w:rPr>
            </w:pPr>
            <w:r w:rsidRPr="00635FA5">
              <w:rPr>
                <w:rFonts w:ascii="Times New Roman" w:hAnsi="Times New Roman" w:cs="Times New Roman"/>
              </w:rPr>
              <w:lastRenderedPageBreak/>
              <w:t>În mii lei (RON)</w:t>
            </w:r>
          </w:p>
        </w:tc>
      </w:tr>
      <w:tr w:rsidR="00520BE3" w:rsidRPr="00635FA5" w14:paraId="57D824B3" w14:textId="77777777" w:rsidTr="005A13C5">
        <w:tc>
          <w:tcPr>
            <w:tcW w:w="2694" w:type="dxa"/>
          </w:tcPr>
          <w:p w14:paraId="318BEE35" w14:textId="77777777" w:rsidR="00670C79" w:rsidRPr="00635FA5" w:rsidRDefault="00670C79" w:rsidP="008838DB">
            <w:pPr>
              <w:pStyle w:val="Heading2"/>
              <w:spacing w:after="120"/>
              <w:rPr>
                <w:sz w:val="24"/>
              </w:rPr>
            </w:pPr>
            <w:r w:rsidRPr="00635FA5">
              <w:rPr>
                <w:sz w:val="24"/>
              </w:rPr>
              <w:t>Indicatori</w:t>
            </w:r>
          </w:p>
        </w:tc>
        <w:tc>
          <w:tcPr>
            <w:tcW w:w="1058" w:type="dxa"/>
          </w:tcPr>
          <w:p w14:paraId="603E3C85" w14:textId="129C77CD" w:rsidR="00670C79" w:rsidRPr="00635FA5" w:rsidRDefault="00670C79" w:rsidP="008838DB">
            <w:pPr>
              <w:spacing w:after="120"/>
              <w:jc w:val="center"/>
            </w:pPr>
            <w:r w:rsidRPr="00635FA5">
              <w:t>An</w:t>
            </w:r>
            <w:r w:rsidR="009A76F9" w:rsidRPr="00635FA5">
              <w:t>ul</w:t>
            </w:r>
            <w:r w:rsidRPr="00635FA5">
              <w:t xml:space="preserve"> curent</w:t>
            </w:r>
          </w:p>
        </w:tc>
        <w:tc>
          <w:tcPr>
            <w:tcW w:w="5333" w:type="dxa"/>
            <w:gridSpan w:val="4"/>
          </w:tcPr>
          <w:p w14:paraId="4EA4AF47" w14:textId="77777777" w:rsidR="00670C79" w:rsidRPr="00635FA5" w:rsidRDefault="00670C79" w:rsidP="008838DB">
            <w:pPr>
              <w:spacing w:after="120"/>
              <w:jc w:val="center"/>
            </w:pPr>
            <w:r w:rsidRPr="00635FA5">
              <w:t>Următorii 4 ani</w:t>
            </w:r>
          </w:p>
        </w:tc>
        <w:tc>
          <w:tcPr>
            <w:tcW w:w="1448" w:type="dxa"/>
          </w:tcPr>
          <w:p w14:paraId="1EE52564" w14:textId="74A4CFA0" w:rsidR="00670C79" w:rsidRPr="00635FA5" w:rsidRDefault="00670C79" w:rsidP="008838DB">
            <w:pPr>
              <w:spacing w:after="120"/>
              <w:jc w:val="center"/>
            </w:pPr>
            <w:r w:rsidRPr="00635FA5">
              <w:t xml:space="preserve">Media </w:t>
            </w:r>
            <w:r w:rsidR="009A76F9" w:rsidRPr="00635FA5">
              <w:t>pe</w:t>
            </w:r>
            <w:r w:rsidRPr="00635FA5">
              <w:t xml:space="preserve"> 5 ani</w:t>
            </w:r>
          </w:p>
        </w:tc>
      </w:tr>
      <w:tr w:rsidR="00520BE3" w:rsidRPr="00635FA5" w14:paraId="31AEB740" w14:textId="77777777" w:rsidTr="005A13C5">
        <w:tc>
          <w:tcPr>
            <w:tcW w:w="2694" w:type="dxa"/>
          </w:tcPr>
          <w:p w14:paraId="1A04C9C9" w14:textId="77777777" w:rsidR="00670C79" w:rsidRPr="00635FA5" w:rsidRDefault="00670C79" w:rsidP="008838DB">
            <w:pPr>
              <w:spacing w:after="120"/>
              <w:jc w:val="center"/>
            </w:pPr>
            <w:r w:rsidRPr="00635FA5">
              <w:t>1</w:t>
            </w:r>
          </w:p>
        </w:tc>
        <w:tc>
          <w:tcPr>
            <w:tcW w:w="1058" w:type="dxa"/>
            <w:vAlign w:val="center"/>
          </w:tcPr>
          <w:p w14:paraId="44BDE6EE" w14:textId="77777777" w:rsidR="00670C79" w:rsidRPr="00635FA5" w:rsidRDefault="00670C79" w:rsidP="008838DB">
            <w:pPr>
              <w:spacing w:after="120"/>
              <w:jc w:val="center"/>
            </w:pPr>
            <w:r w:rsidRPr="00635FA5">
              <w:t>2</w:t>
            </w:r>
          </w:p>
        </w:tc>
        <w:tc>
          <w:tcPr>
            <w:tcW w:w="1366" w:type="dxa"/>
            <w:vAlign w:val="center"/>
          </w:tcPr>
          <w:p w14:paraId="44511A2B" w14:textId="77777777" w:rsidR="00670C79" w:rsidRPr="00635FA5" w:rsidRDefault="00670C79" w:rsidP="008838DB">
            <w:pPr>
              <w:spacing w:after="120"/>
              <w:jc w:val="center"/>
            </w:pPr>
            <w:r w:rsidRPr="00635FA5">
              <w:t>3</w:t>
            </w:r>
          </w:p>
        </w:tc>
        <w:tc>
          <w:tcPr>
            <w:tcW w:w="1466" w:type="dxa"/>
            <w:vAlign w:val="center"/>
          </w:tcPr>
          <w:p w14:paraId="7665B810" w14:textId="77777777" w:rsidR="00670C79" w:rsidRPr="00635FA5" w:rsidRDefault="00670C79" w:rsidP="008838DB">
            <w:pPr>
              <w:spacing w:after="120"/>
              <w:jc w:val="center"/>
            </w:pPr>
            <w:r w:rsidRPr="00635FA5">
              <w:t>4</w:t>
            </w:r>
          </w:p>
        </w:tc>
        <w:tc>
          <w:tcPr>
            <w:tcW w:w="1366" w:type="dxa"/>
            <w:vAlign w:val="center"/>
          </w:tcPr>
          <w:p w14:paraId="375332DA" w14:textId="77777777" w:rsidR="00670C79" w:rsidRPr="00635FA5" w:rsidRDefault="00670C79" w:rsidP="008838DB">
            <w:pPr>
              <w:spacing w:after="120"/>
              <w:jc w:val="center"/>
            </w:pPr>
            <w:r w:rsidRPr="00635FA5">
              <w:t>5</w:t>
            </w:r>
          </w:p>
        </w:tc>
        <w:tc>
          <w:tcPr>
            <w:tcW w:w="1135" w:type="dxa"/>
            <w:vAlign w:val="center"/>
          </w:tcPr>
          <w:p w14:paraId="0DD2A48C" w14:textId="77777777" w:rsidR="00670C79" w:rsidRPr="00635FA5" w:rsidRDefault="00670C79" w:rsidP="008838DB">
            <w:pPr>
              <w:spacing w:after="120"/>
              <w:jc w:val="center"/>
            </w:pPr>
            <w:r w:rsidRPr="00635FA5">
              <w:t>6</w:t>
            </w:r>
          </w:p>
        </w:tc>
        <w:tc>
          <w:tcPr>
            <w:tcW w:w="1448" w:type="dxa"/>
            <w:vAlign w:val="center"/>
          </w:tcPr>
          <w:p w14:paraId="64FF500C" w14:textId="77777777" w:rsidR="00670C79" w:rsidRPr="00635FA5" w:rsidRDefault="00670C79" w:rsidP="008838DB">
            <w:pPr>
              <w:spacing w:after="120"/>
              <w:jc w:val="center"/>
            </w:pPr>
            <w:r w:rsidRPr="00635FA5">
              <w:t>7</w:t>
            </w:r>
          </w:p>
        </w:tc>
      </w:tr>
      <w:tr w:rsidR="00520BE3" w:rsidRPr="00635FA5" w14:paraId="24F374CE" w14:textId="77777777" w:rsidTr="005A13C5">
        <w:tc>
          <w:tcPr>
            <w:tcW w:w="2694" w:type="dxa"/>
          </w:tcPr>
          <w:p w14:paraId="7075F3AB" w14:textId="3D2A3576" w:rsidR="0025682E" w:rsidRPr="00635FA5" w:rsidRDefault="00CD28D5" w:rsidP="008838DB">
            <w:pPr>
              <w:spacing w:after="120"/>
              <w:jc w:val="both"/>
              <w:rPr>
                <w:b/>
                <w:bCs/>
              </w:rPr>
            </w:pPr>
            <w:r w:rsidRPr="00635FA5">
              <w:rPr>
                <w:b/>
                <w:bCs/>
              </w:rPr>
              <w:t>4.</w:t>
            </w:r>
            <w:r w:rsidR="00670C79" w:rsidRPr="00635FA5">
              <w:rPr>
                <w:b/>
                <w:bCs/>
              </w:rPr>
              <w:t>1.</w:t>
            </w:r>
            <w:r w:rsidRPr="00635FA5">
              <w:rPr>
                <w:b/>
                <w:bCs/>
              </w:rPr>
              <w:t xml:space="preserve"> </w:t>
            </w:r>
            <w:r w:rsidR="00670C79" w:rsidRPr="00635FA5">
              <w:rPr>
                <w:b/>
                <w:bCs/>
              </w:rPr>
              <w:t>Modificări ale veniturilor bugetare, plus/minus, din care:</w:t>
            </w:r>
          </w:p>
        </w:tc>
        <w:tc>
          <w:tcPr>
            <w:tcW w:w="1058" w:type="dxa"/>
          </w:tcPr>
          <w:p w14:paraId="7811CDB2" w14:textId="77777777" w:rsidR="00670C79" w:rsidRPr="00635FA5" w:rsidRDefault="00670C79" w:rsidP="008838DB">
            <w:pPr>
              <w:pStyle w:val="BodyText2"/>
              <w:spacing w:after="120"/>
              <w:rPr>
                <w:sz w:val="24"/>
              </w:rPr>
            </w:pPr>
          </w:p>
        </w:tc>
        <w:tc>
          <w:tcPr>
            <w:tcW w:w="1366" w:type="dxa"/>
          </w:tcPr>
          <w:p w14:paraId="5E0D1921" w14:textId="77777777" w:rsidR="00670C79" w:rsidRPr="00635FA5" w:rsidRDefault="00670C79" w:rsidP="008838DB">
            <w:pPr>
              <w:pStyle w:val="BodyText2"/>
              <w:spacing w:after="120"/>
              <w:rPr>
                <w:sz w:val="24"/>
              </w:rPr>
            </w:pPr>
          </w:p>
        </w:tc>
        <w:tc>
          <w:tcPr>
            <w:tcW w:w="1466" w:type="dxa"/>
          </w:tcPr>
          <w:p w14:paraId="3789DD62" w14:textId="77777777" w:rsidR="00670C79" w:rsidRPr="00635FA5" w:rsidRDefault="00670C79" w:rsidP="008838DB">
            <w:pPr>
              <w:pStyle w:val="BodyText2"/>
              <w:spacing w:after="120"/>
              <w:rPr>
                <w:sz w:val="24"/>
              </w:rPr>
            </w:pPr>
          </w:p>
        </w:tc>
        <w:tc>
          <w:tcPr>
            <w:tcW w:w="1366" w:type="dxa"/>
          </w:tcPr>
          <w:p w14:paraId="3EFEBCA3" w14:textId="77777777" w:rsidR="00670C79" w:rsidRPr="00635FA5" w:rsidRDefault="00670C79" w:rsidP="008838DB">
            <w:pPr>
              <w:pStyle w:val="BodyText2"/>
              <w:spacing w:after="120"/>
              <w:rPr>
                <w:sz w:val="24"/>
              </w:rPr>
            </w:pPr>
          </w:p>
        </w:tc>
        <w:tc>
          <w:tcPr>
            <w:tcW w:w="1135" w:type="dxa"/>
          </w:tcPr>
          <w:p w14:paraId="4D97905B" w14:textId="77777777" w:rsidR="00670C79" w:rsidRPr="00635FA5" w:rsidRDefault="00670C79" w:rsidP="008838DB">
            <w:pPr>
              <w:pStyle w:val="BodyText2"/>
              <w:spacing w:after="120"/>
              <w:rPr>
                <w:sz w:val="24"/>
              </w:rPr>
            </w:pPr>
          </w:p>
        </w:tc>
        <w:tc>
          <w:tcPr>
            <w:tcW w:w="1448" w:type="dxa"/>
          </w:tcPr>
          <w:p w14:paraId="4A89D66A" w14:textId="77777777" w:rsidR="00670C79" w:rsidRPr="00635FA5" w:rsidRDefault="00670C79" w:rsidP="008838DB">
            <w:pPr>
              <w:pStyle w:val="BodyText2"/>
              <w:spacing w:after="120"/>
              <w:rPr>
                <w:sz w:val="24"/>
              </w:rPr>
            </w:pPr>
          </w:p>
        </w:tc>
      </w:tr>
      <w:tr w:rsidR="003A367D" w:rsidRPr="00635FA5" w14:paraId="7E845381" w14:textId="77777777" w:rsidTr="005A13C5">
        <w:tc>
          <w:tcPr>
            <w:tcW w:w="2694" w:type="dxa"/>
          </w:tcPr>
          <w:p w14:paraId="25792053" w14:textId="77777777" w:rsidR="003A367D" w:rsidRPr="00635FA5" w:rsidRDefault="003A367D" w:rsidP="008838DB">
            <w:pPr>
              <w:spacing w:after="120"/>
              <w:jc w:val="both"/>
            </w:pPr>
            <w:r w:rsidRPr="00635FA5">
              <w:t>a) bugetul de stat, din acesta:</w:t>
            </w:r>
          </w:p>
          <w:p w14:paraId="32D9DBFB" w14:textId="15A036BA" w:rsidR="003A367D" w:rsidRPr="00635FA5" w:rsidRDefault="00CD28D5" w:rsidP="008838DB">
            <w:pPr>
              <w:spacing w:after="120"/>
              <w:jc w:val="both"/>
            </w:pPr>
            <w:r w:rsidRPr="00635FA5">
              <w:t xml:space="preserve">(i) </w:t>
            </w:r>
            <w:r w:rsidR="003A367D" w:rsidRPr="00635FA5">
              <w:t>impozit pe profit</w:t>
            </w:r>
          </w:p>
          <w:p w14:paraId="67C4E169" w14:textId="0BD99910" w:rsidR="003A367D" w:rsidRPr="00635FA5" w:rsidRDefault="00CD28D5" w:rsidP="008838DB">
            <w:pPr>
              <w:spacing w:after="120"/>
              <w:jc w:val="both"/>
            </w:pPr>
            <w:r w:rsidRPr="00635FA5">
              <w:t xml:space="preserve">(ii) </w:t>
            </w:r>
            <w:r w:rsidR="003A367D" w:rsidRPr="00635FA5">
              <w:t>impozit pe venit</w:t>
            </w:r>
          </w:p>
        </w:tc>
        <w:tc>
          <w:tcPr>
            <w:tcW w:w="1058" w:type="dxa"/>
          </w:tcPr>
          <w:p w14:paraId="07086A97" w14:textId="0FC553D0" w:rsidR="003A367D" w:rsidRPr="00635FA5" w:rsidRDefault="00615991" w:rsidP="008838DB">
            <w:pPr>
              <w:pStyle w:val="BodyText2"/>
              <w:spacing w:after="120"/>
              <w:rPr>
                <w:sz w:val="24"/>
              </w:rPr>
            </w:pPr>
            <w:r>
              <w:rPr>
                <w:sz w:val="24"/>
              </w:rPr>
              <w:t>-</w:t>
            </w:r>
          </w:p>
        </w:tc>
        <w:tc>
          <w:tcPr>
            <w:tcW w:w="1366" w:type="dxa"/>
          </w:tcPr>
          <w:p w14:paraId="68EDD67B" w14:textId="202D0A03" w:rsidR="003A367D" w:rsidRPr="00635FA5" w:rsidRDefault="00615991" w:rsidP="008838DB">
            <w:pPr>
              <w:pStyle w:val="BodyText2"/>
              <w:spacing w:after="120"/>
              <w:rPr>
                <w:sz w:val="24"/>
              </w:rPr>
            </w:pPr>
            <w:r>
              <w:rPr>
                <w:sz w:val="24"/>
              </w:rPr>
              <w:t>-</w:t>
            </w:r>
          </w:p>
        </w:tc>
        <w:tc>
          <w:tcPr>
            <w:tcW w:w="1466" w:type="dxa"/>
          </w:tcPr>
          <w:p w14:paraId="074A0C4C" w14:textId="7AE5D872" w:rsidR="003A367D" w:rsidRPr="00635FA5" w:rsidRDefault="00615991" w:rsidP="008838DB">
            <w:pPr>
              <w:pStyle w:val="BodyText2"/>
              <w:spacing w:after="120"/>
              <w:rPr>
                <w:sz w:val="24"/>
              </w:rPr>
            </w:pPr>
            <w:r>
              <w:rPr>
                <w:sz w:val="24"/>
              </w:rPr>
              <w:t>-</w:t>
            </w:r>
          </w:p>
        </w:tc>
        <w:tc>
          <w:tcPr>
            <w:tcW w:w="1366" w:type="dxa"/>
          </w:tcPr>
          <w:p w14:paraId="3EC66A65" w14:textId="5EAD98EE" w:rsidR="003A367D" w:rsidRPr="00635FA5" w:rsidRDefault="00615991" w:rsidP="008838DB">
            <w:pPr>
              <w:pStyle w:val="BodyText2"/>
              <w:spacing w:after="120"/>
              <w:rPr>
                <w:sz w:val="24"/>
              </w:rPr>
            </w:pPr>
            <w:r>
              <w:rPr>
                <w:sz w:val="24"/>
              </w:rPr>
              <w:t>-</w:t>
            </w:r>
          </w:p>
        </w:tc>
        <w:tc>
          <w:tcPr>
            <w:tcW w:w="1135" w:type="dxa"/>
          </w:tcPr>
          <w:p w14:paraId="5CEC73AA" w14:textId="44D0C4B1" w:rsidR="003A367D" w:rsidRPr="00635FA5" w:rsidRDefault="00615991" w:rsidP="008838DB">
            <w:pPr>
              <w:pStyle w:val="BodyText2"/>
              <w:spacing w:after="120"/>
              <w:rPr>
                <w:sz w:val="24"/>
              </w:rPr>
            </w:pPr>
            <w:r>
              <w:rPr>
                <w:sz w:val="24"/>
              </w:rPr>
              <w:t>-</w:t>
            </w:r>
          </w:p>
        </w:tc>
        <w:tc>
          <w:tcPr>
            <w:tcW w:w="1448" w:type="dxa"/>
          </w:tcPr>
          <w:p w14:paraId="761E2BD4" w14:textId="1816992A" w:rsidR="003A367D" w:rsidRPr="00635FA5" w:rsidRDefault="00615991" w:rsidP="008838DB">
            <w:pPr>
              <w:pStyle w:val="BodyText2"/>
              <w:spacing w:after="120"/>
              <w:rPr>
                <w:sz w:val="24"/>
              </w:rPr>
            </w:pPr>
            <w:r>
              <w:rPr>
                <w:sz w:val="24"/>
              </w:rPr>
              <w:t>-</w:t>
            </w:r>
          </w:p>
        </w:tc>
      </w:tr>
      <w:tr w:rsidR="003A367D" w:rsidRPr="00635FA5" w14:paraId="6771B99C" w14:textId="77777777" w:rsidTr="005A13C5">
        <w:tc>
          <w:tcPr>
            <w:tcW w:w="2694" w:type="dxa"/>
          </w:tcPr>
          <w:p w14:paraId="6A8A0E7F" w14:textId="577483D3" w:rsidR="003A367D" w:rsidRPr="00635FA5" w:rsidRDefault="003A367D" w:rsidP="008838DB">
            <w:pPr>
              <w:spacing w:after="120"/>
              <w:jc w:val="both"/>
            </w:pPr>
            <w:r w:rsidRPr="00635FA5">
              <w:t>b) bugete locale:</w:t>
            </w:r>
          </w:p>
          <w:p w14:paraId="3B0FCECB" w14:textId="7AB36B1B" w:rsidR="003A367D" w:rsidRPr="00635FA5" w:rsidRDefault="00CD28D5" w:rsidP="008838DB">
            <w:pPr>
              <w:spacing w:after="120"/>
              <w:jc w:val="both"/>
            </w:pPr>
            <w:r w:rsidRPr="00635FA5">
              <w:t xml:space="preserve">(i) </w:t>
            </w:r>
            <w:r w:rsidR="003A367D" w:rsidRPr="00635FA5">
              <w:t>impozit pe profit</w:t>
            </w:r>
          </w:p>
        </w:tc>
        <w:tc>
          <w:tcPr>
            <w:tcW w:w="1058" w:type="dxa"/>
          </w:tcPr>
          <w:p w14:paraId="687D0BEC" w14:textId="35FE9216" w:rsidR="003A367D" w:rsidRPr="00635FA5" w:rsidRDefault="00615991" w:rsidP="008838DB">
            <w:pPr>
              <w:pStyle w:val="BodyText2"/>
              <w:spacing w:after="120"/>
              <w:rPr>
                <w:sz w:val="24"/>
              </w:rPr>
            </w:pPr>
            <w:r>
              <w:rPr>
                <w:sz w:val="24"/>
              </w:rPr>
              <w:t>-</w:t>
            </w:r>
          </w:p>
        </w:tc>
        <w:tc>
          <w:tcPr>
            <w:tcW w:w="1366" w:type="dxa"/>
          </w:tcPr>
          <w:p w14:paraId="203F5632" w14:textId="023727D1" w:rsidR="003A367D" w:rsidRPr="00635FA5" w:rsidRDefault="00615991" w:rsidP="008838DB">
            <w:pPr>
              <w:pStyle w:val="BodyText2"/>
              <w:spacing w:after="120"/>
              <w:rPr>
                <w:sz w:val="24"/>
              </w:rPr>
            </w:pPr>
            <w:r>
              <w:rPr>
                <w:sz w:val="24"/>
              </w:rPr>
              <w:t>-</w:t>
            </w:r>
          </w:p>
        </w:tc>
        <w:tc>
          <w:tcPr>
            <w:tcW w:w="1466" w:type="dxa"/>
          </w:tcPr>
          <w:p w14:paraId="38DA8080" w14:textId="18FF3DE4" w:rsidR="003A367D" w:rsidRPr="00635FA5" w:rsidRDefault="00615991" w:rsidP="008838DB">
            <w:pPr>
              <w:pStyle w:val="BodyText2"/>
              <w:spacing w:after="120"/>
              <w:rPr>
                <w:sz w:val="24"/>
              </w:rPr>
            </w:pPr>
            <w:r>
              <w:rPr>
                <w:sz w:val="24"/>
              </w:rPr>
              <w:t>-</w:t>
            </w:r>
          </w:p>
        </w:tc>
        <w:tc>
          <w:tcPr>
            <w:tcW w:w="1366" w:type="dxa"/>
          </w:tcPr>
          <w:p w14:paraId="31807B27" w14:textId="12F619D1" w:rsidR="003A367D" w:rsidRPr="00635FA5" w:rsidRDefault="00615991" w:rsidP="008838DB">
            <w:pPr>
              <w:pStyle w:val="BodyText2"/>
              <w:spacing w:after="120"/>
              <w:rPr>
                <w:sz w:val="24"/>
              </w:rPr>
            </w:pPr>
            <w:r>
              <w:rPr>
                <w:sz w:val="24"/>
              </w:rPr>
              <w:t>-</w:t>
            </w:r>
          </w:p>
        </w:tc>
        <w:tc>
          <w:tcPr>
            <w:tcW w:w="1135" w:type="dxa"/>
          </w:tcPr>
          <w:p w14:paraId="29015A0A" w14:textId="06492412" w:rsidR="003A367D" w:rsidRPr="00635FA5" w:rsidRDefault="00615991" w:rsidP="008838DB">
            <w:pPr>
              <w:pStyle w:val="BodyText2"/>
              <w:spacing w:after="120"/>
              <w:rPr>
                <w:sz w:val="24"/>
              </w:rPr>
            </w:pPr>
            <w:r>
              <w:rPr>
                <w:sz w:val="24"/>
              </w:rPr>
              <w:t>-</w:t>
            </w:r>
          </w:p>
        </w:tc>
        <w:tc>
          <w:tcPr>
            <w:tcW w:w="1448" w:type="dxa"/>
          </w:tcPr>
          <w:p w14:paraId="33E8076D" w14:textId="3EF98268" w:rsidR="003A367D" w:rsidRPr="00635FA5" w:rsidRDefault="00615991" w:rsidP="008838DB">
            <w:pPr>
              <w:pStyle w:val="BodyText2"/>
              <w:spacing w:after="120"/>
              <w:rPr>
                <w:sz w:val="24"/>
              </w:rPr>
            </w:pPr>
            <w:r>
              <w:rPr>
                <w:sz w:val="24"/>
              </w:rPr>
              <w:t>-</w:t>
            </w:r>
          </w:p>
        </w:tc>
      </w:tr>
      <w:tr w:rsidR="003A367D" w:rsidRPr="00635FA5" w14:paraId="3ECF4DE7" w14:textId="77777777" w:rsidTr="005A13C5">
        <w:tc>
          <w:tcPr>
            <w:tcW w:w="2694" w:type="dxa"/>
          </w:tcPr>
          <w:p w14:paraId="454D76E8" w14:textId="401F8F98" w:rsidR="003A367D" w:rsidRPr="00635FA5" w:rsidRDefault="003A367D" w:rsidP="008838DB">
            <w:pPr>
              <w:spacing w:after="120"/>
              <w:jc w:val="both"/>
            </w:pPr>
            <w:r w:rsidRPr="00635FA5">
              <w:t>c) bugetul asigurărilor sociale</w:t>
            </w:r>
            <w:r w:rsidR="00CD13F8" w:rsidRPr="00635FA5">
              <w:t xml:space="preserve"> de stat</w:t>
            </w:r>
          </w:p>
          <w:p w14:paraId="551EFD10" w14:textId="6A1DCE03" w:rsidR="003A367D" w:rsidRPr="00635FA5" w:rsidRDefault="00CD28D5" w:rsidP="008838DB">
            <w:pPr>
              <w:spacing w:after="120"/>
              <w:jc w:val="both"/>
            </w:pPr>
            <w:r w:rsidRPr="00635FA5">
              <w:t xml:space="preserve">(i) </w:t>
            </w:r>
            <w:r w:rsidR="003A367D" w:rsidRPr="00635FA5">
              <w:t>contribuţii de asigurări</w:t>
            </w:r>
          </w:p>
        </w:tc>
        <w:tc>
          <w:tcPr>
            <w:tcW w:w="1058" w:type="dxa"/>
          </w:tcPr>
          <w:p w14:paraId="20DF36E4" w14:textId="050CAEA5" w:rsidR="003A367D" w:rsidRPr="00635FA5" w:rsidRDefault="00615991" w:rsidP="008838DB">
            <w:pPr>
              <w:pStyle w:val="BodyText2"/>
              <w:spacing w:after="120"/>
              <w:rPr>
                <w:sz w:val="24"/>
              </w:rPr>
            </w:pPr>
            <w:r>
              <w:rPr>
                <w:sz w:val="24"/>
              </w:rPr>
              <w:t>-</w:t>
            </w:r>
          </w:p>
        </w:tc>
        <w:tc>
          <w:tcPr>
            <w:tcW w:w="1366" w:type="dxa"/>
          </w:tcPr>
          <w:p w14:paraId="2E4987C5" w14:textId="5294A1C5" w:rsidR="003A367D" w:rsidRPr="00635FA5" w:rsidRDefault="00615991" w:rsidP="008838DB">
            <w:pPr>
              <w:pStyle w:val="BodyText2"/>
              <w:spacing w:after="120"/>
              <w:rPr>
                <w:sz w:val="24"/>
              </w:rPr>
            </w:pPr>
            <w:r>
              <w:rPr>
                <w:sz w:val="24"/>
              </w:rPr>
              <w:t>-</w:t>
            </w:r>
          </w:p>
        </w:tc>
        <w:tc>
          <w:tcPr>
            <w:tcW w:w="1466" w:type="dxa"/>
          </w:tcPr>
          <w:p w14:paraId="55EA5A38" w14:textId="2B0ED464" w:rsidR="003A367D" w:rsidRPr="00635FA5" w:rsidRDefault="00615991" w:rsidP="008838DB">
            <w:pPr>
              <w:pStyle w:val="BodyText2"/>
              <w:spacing w:after="120"/>
              <w:rPr>
                <w:sz w:val="24"/>
              </w:rPr>
            </w:pPr>
            <w:r>
              <w:rPr>
                <w:sz w:val="24"/>
              </w:rPr>
              <w:t>-</w:t>
            </w:r>
          </w:p>
        </w:tc>
        <w:tc>
          <w:tcPr>
            <w:tcW w:w="1366" w:type="dxa"/>
          </w:tcPr>
          <w:p w14:paraId="1A940564" w14:textId="72F6C14A" w:rsidR="003A367D" w:rsidRPr="00635FA5" w:rsidRDefault="00615991" w:rsidP="008838DB">
            <w:pPr>
              <w:pStyle w:val="BodyText2"/>
              <w:spacing w:after="120"/>
              <w:rPr>
                <w:sz w:val="24"/>
              </w:rPr>
            </w:pPr>
            <w:r>
              <w:rPr>
                <w:sz w:val="24"/>
              </w:rPr>
              <w:t>-</w:t>
            </w:r>
          </w:p>
        </w:tc>
        <w:tc>
          <w:tcPr>
            <w:tcW w:w="1135" w:type="dxa"/>
          </w:tcPr>
          <w:p w14:paraId="3B9F8826" w14:textId="7F62203A" w:rsidR="003A367D" w:rsidRPr="00635FA5" w:rsidRDefault="00615991" w:rsidP="008838DB">
            <w:pPr>
              <w:pStyle w:val="BodyText2"/>
              <w:spacing w:after="120"/>
              <w:rPr>
                <w:sz w:val="24"/>
              </w:rPr>
            </w:pPr>
            <w:r>
              <w:rPr>
                <w:sz w:val="24"/>
              </w:rPr>
              <w:t>-</w:t>
            </w:r>
          </w:p>
        </w:tc>
        <w:tc>
          <w:tcPr>
            <w:tcW w:w="1448" w:type="dxa"/>
          </w:tcPr>
          <w:p w14:paraId="7236E3D5" w14:textId="727B4415" w:rsidR="003A367D" w:rsidRPr="00635FA5" w:rsidRDefault="00615991" w:rsidP="008838DB">
            <w:pPr>
              <w:pStyle w:val="BodyText2"/>
              <w:spacing w:after="120"/>
              <w:rPr>
                <w:sz w:val="24"/>
              </w:rPr>
            </w:pPr>
            <w:r>
              <w:rPr>
                <w:sz w:val="24"/>
              </w:rPr>
              <w:t>-</w:t>
            </w:r>
          </w:p>
        </w:tc>
      </w:tr>
      <w:tr w:rsidR="00615991" w:rsidRPr="00635FA5" w14:paraId="3B61ACE7" w14:textId="77777777" w:rsidTr="005A13C5">
        <w:tc>
          <w:tcPr>
            <w:tcW w:w="2694" w:type="dxa"/>
          </w:tcPr>
          <w:p w14:paraId="62FD1E56" w14:textId="77777777" w:rsidR="00615991" w:rsidRPr="00635FA5" w:rsidRDefault="00615991" w:rsidP="008838DB">
            <w:pPr>
              <w:spacing w:after="120"/>
              <w:jc w:val="both"/>
            </w:pPr>
            <w:r w:rsidRPr="00635FA5">
              <w:t>d) alte tipuri de venituri</w:t>
            </w:r>
          </w:p>
          <w:p w14:paraId="5EB8BD87" w14:textId="4527B335" w:rsidR="00615991" w:rsidRPr="00635FA5" w:rsidRDefault="00615991" w:rsidP="008838DB">
            <w:pPr>
              <w:spacing w:after="120"/>
              <w:jc w:val="both"/>
            </w:pPr>
            <w:r w:rsidRPr="00635FA5">
              <w:t xml:space="preserve">(Se va menționa natura acestora.) </w:t>
            </w:r>
          </w:p>
        </w:tc>
        <w:tc>
          <w:tcPr>
            <w:tcW w:w="1058" w:type="dxa"/>
          </w:tcPr>
          <w:p w14:paraId="704BCA51" w14:textId="051FEA90" w:rsidR="00615991" w:rsidRPr="00635FA5" w:rsidRDefault="00615991" w:rsidP="008838DB">
            <w:pPr>
              <w:pStyle w:val="BodyText2"/>
              <w:spacing w:after="120"/>
              <w:rPr>
                <w:sz w:val="24"/>
              </w:rPr>
            </w:pPr>
            <w:r>
              <w:rPr>
                <w:sz w:val="24"/>
              </w:rPr>
              <w:t>-</w:t>
            </w:r>
          </w:p>
        </w:tc>
        <w:tc>
          <w:tcPr>
            <w:tcW w:w="1366" w:type="dxa"/>
          </w:tcPr>
          <w:p w14:paraId="269D834F" w14:textId="34764A50" w:rsidR="00615991" w:rsidRPr="00635FA5" w:rsidRDefault="00615991" w:rsidP="008838DB">
            <w:pPr>
              <w:pStyle w:val="BodyText2"/>
              <w:spacing w:after="120"/>
              <w:rPr>
                <w:sz w:val="24"/>
              </w:rPr>
            </w:pPr>
            <w:r>
              <w:rPr>
                <w:sz w:val="24"/>
              </w:rPr>
              <w:t>-</w:t>
            </w:r>
          </w:p>
        </w:tc>
        <w:tc>
          <w:tcPr>
            <w:tcW w:w="1466" w:type="dxa"/>
          </w:tcPr>
          <w:p w14:paraId="03C3272C" w14:textId="390DBB26" w:rsidR="00615991" w:rsidRPr="00635FA5" w:rsidRDefault="00615991" w:rsidP="008838DB">
            <w:pPr>
              <w:pStyle w:val="BodyText2"/>
              <w:spacing w:after="120"/>
              <w:rPr>
                <w:sz w:val="24"/>
              </w:rPr>
            </w:pPr>
            <w:r>
              <w:rPr>
                <w:sz w:val="24"/>
              </w:rPr>
              <w:t>-</w:t>
            </w:r>
          </w:p>
        </w:tc>
        <w:tc>
          <w:tcPr>
            <w:tcW w:w="1366" w:type="dxa"/>
          </w:tcPr>
          <w:p w14:paraId="70C282AC" w14:textId="5ED183B5" w:rsidR="00615991" w:rsidRPr="00635FA5" w:rsidRDefault="00615991" w:rsidP="008838DB">
            <w:pPr>
              <w:pStyle w:val="BodyText2"/>
              <w:spacing w:after="120"/>
              <w:rPr>
                <w:sz w:val="24"/>
              </w:rPr>
            </w:pPr>
            <w:r>
              <w:rPr>
                <w:sz w:val="24"/>
              </w:rPr>
              <w:t>-</w:t>
            </w:r>
          </w:p>
        </w:tc>
        <w:tc>
          <w:tcPr>
            <w:tcW w:w="1135" w:type="dxa"/>
          </w:tcPr>
          <w:p w14:paraId="711BE975" w14:textId="26B6ADF7" w:rsidR="00615991" w:rsidRPr="00635FA5" w:rsidRDefault="00615991" w:rsidP="008838DB">
            <w:pPr>
              <w:pStyle w:val="BodyText2"/>
              <w:spacing w:after="120"/>
              <w:rPr>
                <w:sz w:val="24"/>
              </w:rPr>
            </w:pPr>
            <w:r>
              <w:rPr>
                <w:sz w:val="24"/>
              </w:rPr>
              <w:t>-</w:t>
            </w:r>
          </w:p>
        </w:tc>
        <w:tc>
          <w:tcPr>
            <w:tcW w:w="1448" w:type="dxa"/>
          </w:tcPr>
          <w:p w14:paraId="56D819C6" w14:textId="493CB632" w:rsidR="00615991" w:rsidRPr="00635FA5" w:rsidRDefault="00615991" w:rsidP="008838DB">
            <w:pPr>
              <w:pStyle w:val="BodyText2"/>
              <w:spacing w:after="120"/>
              <w:rPr>
                <w:sz w:val="24"/>
              </w:rPr>
            </w:pPr>
            <w:r>
              <w:rPr>
                <w:sz w:val="24"/>
              </w:rPr>
              <w:t>-</w:t>
            </w:r>
          </w:p>
        </w:tc>
      </w:tr>
      <w:tr w:rsidR="00615991" w:rsidRPr="00635FA5" w14:paraId="126F1061" w14:textId="77777777" w:rsidTr="005A13C5">
        <w:tc>
          <w:tcPr>
            <w:tcW w:w="2694" w:type="dxa"/>
          </w:tcPr>
          <w:p w14:paraId="1415B230" w14:textId="72A3E85F" w:rsidR="00615991" w:rsidRPr="00635FA5" w:rsidRDefault="00615991" w:rsidP="008838DB">
            <w:pPr>
              <w:spacing w:after="120"/>
              <w:jc w:val="both"/>
              <w:rPr>
                <w:b/>
                <w:bCs/>
              </w:rPr>
            </w:pPr>
            <w:r w:rsidRPr="00635FA5">
              <w:rPr>
                <w:b/>
                <w:bCs/>
              </w:rPr>
              <w:t>4.2. Modificări ale cheltuielilor bugetare, plus/minus, din care:</w:t>
            </w:r>
          </w:p>
        </w:tc>
        <w:tc>
          <w:tcPr>
            <w:tcW w:w="1058" w:type="dxa"/>
          </w:tcPr>
          <w:p w14:paraId="7BB1C451" w14:textId="6E9A7DD0" w:rsidR="00615991" w:rsidRPr="00635FA5" w:rsidRDefault="00615991" w:rsidP="008838DB">
            <w:pPr>
              <w:spacing w:after="120"/>
              <w:jc w:val="center"/>
            </w:pPr>
          </w:p>
        </w:tc>
        <w:tc>
          <w:tcPr>
            <w:tcW w:w="1366" w:type="dxa"/>
          </w:tcPr>
          <w:p w14:paraId="44C5A3FF" w14:textId="5D5DB2A0" w:rsidR="00615991" w:rsidRPr="00635FA5" w:rsidRDefault="00615991" w:rsidP="008838DB">
            <w:pPr>
              <w:spacing w:after="120"/>
              <w:jc w:val="center"/>
            </w:pPr>
          </w:p>
        </w:tc>
        <w:tc>
          <w:tcPr>
            <w:tcW w:w="1466" w:type="dxa"/>
          </w:tcPr>
          <w:p w14:paraId="1702DFD2" w14:textId="28B5B140" w:rsidR="00615991" w:rsidRPr="00635FA5" w:rsidRDefault="00615991" w:rsidP="008838DB">
            <w:pPr>
              <w:spacing w:after="120"/>
              <w:jc w:val="center"/>
            </w:pPr>
          </w:p>
        </w:tc>
        <w:tc>
          <w:tcPr>
            <w:tcW w:w="1366" w:type="dxa"/>
          </w:tcPr>
          <w:p w14:paraId="1D7B38D6" w14:textId="279F636A" w:rsidR="00615991" w:rsidRPr="00635FA5" w:rsidRDefault="00615991" w:rsidP="008838DB">
            <w:pPr>
              <w:spacing w:after="120"/>
              <w:jc w:val="center"/>
            </w:pPr>
          </w:p>
        </w:tc>
        <w:tc>
          <w:tcPr>
            <w:tcW w:w="1135" w:type="dxa"/>
          </w:tcPr>
          <w:p w14:paraId="09F7CD9E" w14:textId="7625EA6E" w:rsidR="00615991" w:rsidRPr="00635FA5" w:rsidRDefault="00615991" w:rsidP="008838DB">
            <w:pPr>
              <w:spacing w:after="120"/>
              <w:jc w:val="center"/>
            </w:pPr>
          </w:p>
        </w:tc>
        <w:tc>
          <w:tcPr>
            <w:tcW w:w="1448" w:type="dxa"/>
          </w:tcPr>
          <w:p w14:paraId="16493B27" w14:textId="1F46B1F6" w:rsidR="00615991" w:rsidRPr="00635FA5" w:rsidRDefault="00615991" w:rsidP="008838DB">
            <w:pPr>
              <w:spacing w:after="120"/>
              <w:jc w:val="center"/>
            </w:pPr>
          </w:p>
        </w:tc>
      </w:tr>
      <w:tr w:rsidR="00615991" w:rsidRPr="00635FA5" w14:paraId="408E6817" w14:textId="77777777" w:rsidTr="005A13C5">
        <w:tc>
          <w:tcPr>
            <w:tcW w:w="2694" w:type="dxa"/>
          </w:tcPr>
          <w:p w14:paraId="2D265B20" w14:textId="19563007" w:rsidR="00615991" w:rsidRPr="00635FA5" w:rsidRDefault="00615991" w:rsidP="008838DB">
            <w:pPr>
              <w:spacing w:after="120"/>
              <w:jc w:val="both"/>
            </w:pPr>
            <w:r w:rsidRPr="00635FA5">
              <w:t>a) buget de stat, din acesta:</w:t>
            </w:r>
          </w:p>
          <w:p w14:paraId="3382ADB9" w14:textId="31517959" w:rsidR="00615991" w:rsidRPr="00635FA5" w:rsidRDefault="00615991" w:rsidP="008838DB">
            <w:pPr>
              <w:spacing w:after="120"/>
              <w:jc w:val="both"/>
            </w:pPr>
            <w:r w:rsidRPr="00635FA5">
              <w:t>(i) cheltuieli de personal</w:t>
            </w:r>
          </w:p>
          <w:p w14:paraId="2AF2C20C" w14:textId="24F90ED4" w:rsidR="00615991" w:rsidRPr="00635FA5" w:rsidRDefault="00615991" w:rsidP="008838DB">
            <w:pPr>
              <w:spacing w:after="120"/>
              <w:jc w:val="both"/>
            </w:pPr>
            <w:r w:rsidRPr="00635FA5">
              <w:t>(ii) bunuri şi servicii</w:t>
            </w:r>
          </w:p>
        </w:tc>
        <w:tc>
          <w:tcPr>
            <w:tcW w:w="1058" w:type="dxa"/>
          </w:tcPr>
          <w:p w14:paraId="3E0B1602" w14:textId="2880BFA1" w:rsidR="00615991" w:rsidRPr="00635FA5" w:rsidRDefault="00615991" w:rsidP="008838DB">
            <w:pPr>
              <w:spacing w:after="120"/>
              <w:jc w:val="center"/>
            </w:pPr>
            <w:r>
              <w:t>-</w:t>
            </w:r>
          </w:p>
        </w:tc>
        <w:tc>
          <w:tcPr>
            <w:tcW w:w="1366" w:type="dxa"/>
          </w:tcPr>
          <w:p w14:paraId="4A5827CA" w14:textId="6E4441E7" w:rsidR="00615991" w:rsidRPr="00635FA5" w:rsidRDefault="00615991" w:rsidP="008838DB">
            <w:pPr>
              <w:spacing w:after="120"/>
              <w:jc w:val="center"/>
            </w:pPr>
            <w:r>
              <w:t>-</w:t>
            </w:r>
          </w:p>
        </w:tc>
        <w:tc>
          <w:tcPr>
            <w:tcW w:w="1466" w:type="dxa"/>
          </w:tcPr>
          <w:p w14:paraId="32FB3ACA" w14:textId="4BA12085" w:rsidR="00615991" w:rsidRPr="00635FA5" w:rsidRDefault="00615991" w:rsidP="008838DB">
            <w:pPr>
              <w:spacing w:after="120"/>
              <w:jc w:val="center"/>
            </w:pPr>
            <w:r>
              <w:t>-</w:t>
            </w:r>
          </w:p>
        </w:tc>
        <w:tc>
          <w:tcPr>
            <w:tcW w:w="1366" w:type="dxa"/>
          </w:tcPr>
          <w:p w14:paraId="6B0B1905" w14:textId="7F6973D7" w:rsidR="00615991" w:rsidRPr="00635FA5" w:rsidRDefault="00615991" w:rsidP="008838DB">
            <w:pPr>
              <w:spacing w:after="120"/>
              <w:jc w:val="center"/>
            </w:pPr>
            <w:r>
              <w:t>-</w:t>
            </w:r>
          </w:p>
        </w:tc>
        <w:tc>
          <w:tcPr>
            <w:tcW w:w="1135" w:type="dxa"/>
          </w:tcPr>
          <w:p w14:paraId="23CBB327" w14:textId="0B8E0408" w:rsidR="00615991" w:rsidRPr="00635FA5" w:rsidRDefault="00615991" w:rsidP="008838DB">
            <w:pPr>
              <w:spacing w:after="120"/>
              <w:jc w:val="center"/>
            </w:pPr>
            <w:r>
              <w:t>-</w:t>
            </w:r>
          </w:p>
        </w:tc>
        <w:tc>
          <w:tcPr>
            <w:tcW w:w="1448" w:type="dxa"/>
          </w:tcPr>
          <w:p w14:paraId="58A4AD04" w14:textId="623D635F" w:rsidR="00615991" w:rsidRPr="00635FA5" w:rsidRDefault="00615991" w:rsidP="008838DB">
            <w:pPr>
              <w:spacing w:after="120"/>
              <w:jc w:val="center"/>
            </w:pPr>
            <w:r>
              <w:t>-</w:t>
            </w:r>
          </w:p>
        </w:tc>
      </w:tr>
      <w:tr w:rsidR="00615991" w:rsidRPr="00635FA5" w14:paraId="247EA305" w14:textId="77777777" w:rsidTr="005A13C5">
        <w:tc>
          <w:tcPr>
            <w:tcW w:w="2694" w:type="dxa"/>
          </w:tcPr>
          <w:p w14:paraId="1413F8FD" w14:textId="15D4A2BF" w:rsidR="00615991" w:rsidRPr="00635FA5" w:rsidRDefault="00615991" w:rsidP="008838DB">
            <w:pPr>
              <w:spacing w:after="120"/>
              <w:jc w:val="both"/>
            </w:pPr>
            <w:r w:rsidRPr="00635FA5">
              <w:t>b) bugete locale:</w:t>
            </w:r>
          </w:p>
          <w:p w14:paraId="5D43B430" w14:textId="0375DEBE" w:rsidR="00615991" w:rsidRPr="00635FA5" w:rsidRDefault="00615991" w:rsidP="008838DB">
            <w:pPr>
              <w:spacing w:after="120"/>
              <w:jc w:val="both"/>
            </w:pPr>
            <w:r w:rsidRPr="00635FA5">
              <w:t>(i) cheltuieli de personal</w:t>
            </w:r>
          </w:p>
          <w:p w14:paraId="5FAAC7DC" w14:textId="3646E615" w:rsidR="00615991" w:rsidRPr="00635FA5" w:rsidRDefault="00615991" w:rsidP="008838DB">
            <w:pPr>
              <w:spacing w:after="120"/>
              <w:jc w:val="both"/>
            </w:pPr>
            <w:r w:rsidRPr="00635FA5">
              <w:t>(ii) bunuri şi servicii</w:t>
            </w:r>
          </w:p>
        </w:tc>
        <w:tc>
          <w:tcPr>
            <w:tcW w:w="1058" w:type="dxa"/>
          </w:tcPr>
          <w:p w14:paraId="35C2339D" w14:textId="681A23C1" w:rsidR="00615991" w:rsidRPr="00635FA5" w:rsidRDefault="00615991" w:rsidP="008838DB">
            <w:pPr>
              <w:spacing w:after="120"/>
              <w:jc w:val="center"/>
            </w:pPr>
            <w:r>
              <w:t>-</w:t>
            </w:r>
          </w:p>
        </w:tc>
        <w:tc>
          <w:tcPr>
            <w:tcW w:w="1366" w:type="dxa"/>
          </w:tcPr>
          <w:p w14:paraId="7642EF10" w14:textId="4DDA80B3" w:rsidR="00615991" w:rsidRPr="00635FA5" w:rsidRDefault="00615991" w:rsidP="008838DB">
            <w:pPr>
              <w:spacing w:after="120"/>
              <w:jc w:val="center"/>
            </w:pPr>
            <w:r>
              <w:t>-</w:t>
            </w:r>
          </w:p>
        </w:tc>
        <w:tc>
          <w:tcPr>
            <w:tcW w:w="1466" w:type="dxa"/>
          </w:tcPr>
          <w:p w14:paraId="00DA41A3" w14:textId="528827D8" w:rsidR="00615991" w:rsidRPr="00635FA5" w:rsidRDefault="00615991" w:rsidP="008838DB">
            <w:pPr>
              <w:spacing w:after="120"/>
              <w:jc w:val="center"/>
            </w:pPr>
            <w:r>
              <w:t>-</w:t>
            </w:r>
          </w:p>
        </w:tc>
        <w:tc>
          <w:tcPr>
            <w:tcW w:w="1366" w:type="dxa"/>
          </w:tcPr>
          <w:p w14:paraId="5014B167" w14:textId="4C6D7AFC" w:rsidR="00615991" w:rsidRPr="00635FA5" w:rsidRDefault="00615991" w:rsidP="008838DB">
            <w:pPr>
              <w:spacing w:after="120"/>
              <w:jc w:val="center"/>
            </w:pPr>
            <w:r>
              <w:t>-</w:t>
            </w:r>
          </w:p>
        </w:tc>
        <w:tc>
          <w:tcPr>
            <w:tcW w:w="1135" w:type="dxa"/>
          </w:tcPr>
          <w:p w14:paraId="44E6962F" w14:textId="1F13F682" w:rsidR="00615991" w:rsidRPr="00635FA5" w:rsidRDefault="00615991" w:rsidP="008838DB">
            <w:pPr>
              <w:spacing w:after="120"/>
              <w:jc w:val="center"/>
            </w:pPr>
            <w:r>
              <w:t>-</w:t>
            </w:r>
          </w:p>
        </w:tc>
        <w:tc>
          <w:tcPr>
            <w:tcW w:w="1448" w:type="dxa"/>
          </w:tcPr>
          <w:p w14:paraId="5D1C5F3E" w14:textId="5BE48E59" w:rsidR="00615991" w:rsidRPr="00635FA5" w:rsidRDefault="00615991" w:rsidP="008838DB">
            <w:pPr>
              <w:spacing w:after="120"/>
              <w:jc w:val="center"/>
            </w:pPr>
            <w:r>
              <w:t>-</w:t>
            </w:r>
          </w:p>
        </w:tc>
      </w:tr>
      <w:tr w:rsidR="00615991" w:rsidRPr="00635FA5" w14:paraId="64A76806" w14:textId="77777777" w:rsidTr="005A13C5">
        <w:tc>
          <w:tcPr>
            <w:tcW w:w="2694" w:type="dxa"/>
          </w:tcPr>
          <w:p w14:paraId="30172BDF" w14:textId="0D2320D4" w:rsidR="00615991" w:rsidRPr="00635FA5" w:rsidRDefault="00615991" w:rsidP="008838DB">
            <w:pPr>
              <w:spacing w:after="120"/>
              <w:jc w:val="both"/>
            </w:pPr>
            <w:r w:rsidRPr="00635FA5">
              <w:t>c) bugetul asigurărilor sociale de stat:</w:t>
            </w:r>
          </w:p>
          <w:p w14:paraId="03FADADD" w14:textId="1EB62078" w:rsidR="00615991" w:rsidRPr="00635FA5" w:rsidRDefault="00615991" w:rsidP="008838DB">
            <w:pPr>
              <w:spacing w:after="120"/>
              <w:jc w:val="both"/>
            </w:pPr>
            <w:r w:rsidRPr="00635FA5">
              <w:t>(i) cheltuieli de personal</w:t>
            </w:r>
          </w:p>
          <w:p w14:paraId="55656529" w14:textId="757B5B4C" w:rsidR="00615991" w:rsidRPr="00635FA5" w:rsidRDefault="00615991" w:rsidP="008838DB">
            <w:pPr>
              <w:spacing w:after="120"/>
              <w:jc w:val="both"/>
            </w:pPr>
            <w:r w:rsidRPr="00635FA5">
              <w:t>(ii) bunuri şi servicii</w:t>
            </w:r>
          </w:p>
        </w:tc>
        <w:tc>
          <w:tcPr>
            <w:tcW w:w="1058" w:type="dxa"/>
          </w:tcPr>
          <w:p w14:paraId="2DE6BAAD" w14:textId="6A35E437" w:rsidR="00615991" w:rsidRPr="00635FA5" w:rsidRDefault="00615991" w:rsidP="008838DB">
            <w:pPr>
              <w:spacing w:after="120"/>
              <w:jc w:val="center"/>
            </w:pPr>
            <w:r>
              <w:t>-</w:t>
            </w:r>
          </w:p>
        </w:tc>
        <w:tc>
          <w:tcPr>
            <w:tcW w:w="1366" w:type="dxa"/>
          </w:tcPr>
          <w:p w14:paraId="07943E17" w14:textId="308103CC" w:rsidR="00615991" w:rsidRPr="00635FA5" w:rsidRDefault="00615991" w:rsidP="008838DB">
            <w:pPr>
              <w:spacing w:after="120"/>
              <w:jc w:val="center"/>
            </w:pPr>
            <w:r>
              <w:t>-</w:t>
            </w:r>
          </w:p>
        </w:tc>
        <w:tc>
          <w:tcPr>
            <w:tcW w:w="1466" w:type="dxa"/>
          </w:tcPr>
          <w:p w14:paraId="5D1EB785" w14:textId="607B7F93" w:rsidR="00615991" w:rsidRPr="00635FA5" w:rsidRDefault="00615991" w:rsidP="008838DB">
            <w:pPr>
              <w:spacing w:after="120"/>
              <w:jc w:val="center"/>
            </w:pPr>
            <w:r>
              <w:t>-</w:t>
            </w:r>
          </w:p>
        </w:tc>
        <w:tc>
          <w:tcPr>
            <w:tcW w:w="1366" w:type="dxa"/>
          </w:tcPr>
          <w:p w14:paraId="7E7347DF" w14:textId="7CDA1BC4" w:rsidR="00615991" w:rsidRPr="00635FA5" w:rsidRDefault="00615991" w:rsidP="008838DB">
            <w:pPr>
              <w:spacing w:after="120"/>
              <w:jc w:val="center"/>
            </w:pPr>
            <w:r>
              <w:t>-</w:t>
            </w:r>
          </w:p>
        </w:tc>
        <w:tc>
          <w:tcPr>
            <w:tcW w:w="1135" w:type="dxa"/>
          </w:tcPr>
          <w:p w14:paraId="27993F0F" w14:textId="56682796" w:rsidR="00615991" w:rsidRPr="00635FA5" w:rsidRDefault="00615991" w:rsidP="008838DB">
            <w:pPr>
              <w:spacing w:after="120"/>
              <w:jc w:val="center"/>
            </w:pPr>
            <w:r>
              <w:t>-</w:t>
            </w:r>
          </w:p>
        </w:tc>
        <w:tc>
          <w:tcPr>
            <w:tcW w:w="1448" w:type="dxa"/>
          </w:tcPr>
          <w:p w14:paraId="3D14DE78" w14:textId="74C38938" w:rsidR="00615991" w:rsidRPr="00635FA5" w:rsidRDefault="00615991" w:rsidP="008838DB">
            <w:pPr>
              <w:spacing w:after="120"/>
              <w:jc w:val="center"/>
            </w:pPr>
            <w:r>
              <w:t>-</w:t>
            </w:r>
          </w:p>
        </w:tc>
      </w:tr>
      <w:tr w:rsidR="00615991" w:rsidRPr="00635FA5" w14:paraId="5C3A403A" w14:textId="77777777" w:rsidTr="005A13C5">
        <w:tc>
          <w:tcPr>
            <w:tcW w:w="2694" w:type="dxa"/>
          </w:tcPr>
          <w:p w14:paraId="3BF8A849" w14:textId="176DF995" w:rsidR="00615991" w:rsidRPr="00635FA5" w:rsidRDefault="00615991" w:rsidP="008838DB">
            <w:pPr>
              <w:spacing w:after="120"/>
              <w:jc w:val="both"/>
            </w:pPr>
            <w:r w:rsidRPr="00635FA5">
              <w:t>d) alte tipuri de cheltuieli</w:t>
            </w:r>
          </w:p>
          <w:p w14:paraId="359EE9C4" w14:textId="710C86CB" w:rsidR="00615991" w:rsidRPr="00635FA5" w:rsidRDefault="00615991" w:rsidP="008838DB">
            <w:pPr>
              <w:spacing w:after="120"/>
              <w:jc w:val="both"/>
            </w:pPr>
            <w:r w:rsidRPr="00635FA5">
              <w:t>(Se va menționa natura acestora.)</w:t>
            </w:r>
          </w:p>
        </w:tc>
        <w:tc>
          <w:tcPr>
            <w:tcW w:w="1058" w:type="dxa"/>
          </w:tcPr>
          <w:p w14:paraId="2C7AC338" w14:textId="51802A9E" w:rsidR="00615991" w:rsidRPr="00635FA5" w:rsidRDefault="00615991" w:rsidP="008838DB">
            <w:pPr>
              <w:spacing w:after="120"/>
              <w:jc w:val="center"/>
            </w:pPr>
            <w:r>
              <w:t>-</w:t>
            </w:r>
          </w:p>
        </w:tc>
        <w:tc>
          <w:tcPr>
            <w:tcW w:w="1366" w:type="dxa"/>
          </w:tcPr>
          <w:p w14:paraId="7CA00BF7" w14:textId="3CEFD3CE" w:rsidR="00615991" w:rsidRPr="00635FA5" w:rsidRDefault="00615991" w:rsidP="008838DB">
            <w:pPr>
              <w:spacing w:after="120"/>
              <w:jc w:val="center"/>
            </w:pPr>
            <w:r>
              <w:t>-</w:t>
            </w:r>
          </w:p>
        </w:tc>
        <w:tc>
          <w:tcPr>
            <w:tcW w:w="1466" w:type="dxa"/>
          </w:tcPr>
          <w:p w14:paraId="22F7EDA8" w14:textId="579D4899" w:rsidR="00615991" w:rsidRPr="00635FA5" w:rsidRDefault="00615991" w:rsidP="008838DB">
            <w:pPr>
              <w:spacing w:after="120"/>
              <w:jc w:val="center"/>
            </w:pPr>
            <w:r>
              <w:t>-</w:t>
            </w:r>
          </w:p>
        </w:tc>
        <w:tc>
          <w:tcPr>
            <w:tcW w:w="1366" w:type="dxa"/>
          </w:tcPr>
          <w:p w14:paraId="1C65014D" w14:textId="47F6E95A" w:rsidR="00615991" w:rsidRPr="00635FA5" w:rsidRDefault="00615991" w:rsidP="008838DB">
            <w:pPr>
              <w:spacing w:after="120"/>
              <w:jc w:val="center"/>
            </w:pPr>
            <w:r>
              <w:t>-</w:t>
            </w:r>
          </w:p>
        </w:tc>
        <w:tc>
          <w:tcPr>
            <w:tcW w:w="1135" w:type="dxa"/>
          </w:tcPr>
          <w:p w14:paraId="69EFB472" w14:textId="6662FE61" w:rsidR="00615991" w:rsidRPr="00635FA5" w:rsidRDefault="00615991" w:rsidP="008838DB">
            <w:pPr>
              <w:spacing w:after="120"/>
              <w:jc w:val="center"/>
            </w:pPr>
            <w:r>
              <w:t>-</w:t>
            </w:r>
          </w:p>
        </w:tc>
        <w:tc>
          <w:tcPr>
            <w:tcW w:w="1448" w:type="dxa"/>
          </w:tcPr>
          <w:p w14:paraId="2BEA7293" w14:textId="7EC5C386" w:rsidR="00615991" w:rsidRPr="00635FA5" w:rsidRDefault="00615991" w:rsidP="008838DB">
            <w:pPr>
              <w:spacing w:after="120"/>
              <w:jc w:val="center"/>
            </w:pPr>
            <w:r>
              <w:t>-</w:t>
            </w:r>
          </w:p>
        </w:tc>
      </w:tr>
      <w:tr w:rsidR="00615991" w:rsidRPr="00635FA5" w14:paraId="6E9F3798" w14:textId="77777777" w:rsidTr="005A13C5">
        <w:tc>
          <w:tcPr>
            <w:tcW w:w="2694" w:type="dxa"/>
          </w:tcPr>
          <w:p w14:paraId="1C49C2EC" w14:textId="77777777" w:rsidR="00615991" w:rsidRPr="00635FA5" w:rsidRDefault="00615991" w:rsidP="008838DB">
            <w:pPr>
              <w:spacing w:after="120"/>
              <w:jc w:val="both"/>
              <w:rPr>
                <w:b/>
                <w:bCs/>
              </w:rPr>
            </w:pPr>
            <w:r w:rsidRPr="00635FA5">
              <w:rPr>
                <w:b/>
                <w:bCs/>
              </w:rPr>
              <w:t>4.3. Impact financiar, plus/minus, din care:</w:t>
            </w:r>
          </w:p>
          <w:p w14:paraId="656BFCEC" w14:textId="54C7982C" w:rsidR="00615991" w:rsidRPr="00635FA5" w:rsidRDefault="00615991" w:rsidP="008838DB">
            <w:pPr>
              <w:spacing w:after="120"/>
              <w:jc w:val="both"/>
            </w:pPr>
            <w:r w:rsidRPr="00635FA5">
              <w:lastRenderedPageBreak/>
              <w:t>a) buget de stat</w:t>
            </w:r>
          </w:p>
        </w:tc>
        <w:tc>
          <w:tcPr>
            <w:tcW w:w="1058" w:type="dxa"/>
          </w:tcPr>
          <w:p w14:paraId="7AD2D601" w14:textId="092F255A" w:rsidR="00615991" w:rsidRPr="00635FA5" w:rsidRDefault="00615991" w:rsidP="008838DB">
            <w:pPr>
              <w:spacing w:after="120"/>
              <w:jc w:val="center"/>
            </w:pPr>
          </w:p>
        </w:tc>
        <w:tc>
          <w:tcPr>
            <w:tcW w:w="1366" w:type="dxa"/>
          </w:tcPr>
          <w:p w14:paraId="0568D044" w14:textId="396C4210" w:rsidR="00615991" w:rsidRPr="00635FA5" w:rsidRDefault="00615991" w:rsidP="008838DB">
            <w:pPr>
              <w:spacing w:after="120"/>
              <w:jc w:val="center"/>
            </w:pPr>
          </w:p>
        </w:tc>
        <w:tc>
          <w:tcPr>
            <w:tcW w:w="1466" w:type="dxa"/>
          </w:tcPr>
          <w:p w14:paraId="210A6366" w14:textId="42D67C53" w:rsidR="00615991" w:rsidRPr="00635FA5" w:rsidRDefault="00615991" w:rsidP="008838DB">
            <w:pPr>
              <w:spacing w:after="120"/>
              <w:jc w:val="center"/>
            </w:pPr>
          </w:p>
        </w:tc>
        <w:tc>
          <w:tcPr>
            <w:tcW w:w="1366" w:type="dxa"/>
          </w:tcPr>
          <w:p w14:paraId="2693F75B" w14:textId="7456D92D" w:rsidR="00615991" w:rsidRPr="00635FA5" w:rsidRDefault="00615991" w:rsidP="008838DB">
            <w:pPr>
              <w:spacing w:after="120"/>
              <w:jc w:val="center"/>
            </w:pPr>
          </w:p>
        </w:tc>
        <w:tc>
          <w:tcPr>
            <w:tcW w:w="1135" w:type="dxa"/>
          </w:tcPr>
          <w:p w14:paraId="1585137C" w14:textId="59C84DA0" w:rsidR="00615991" w:rsidRPr="00635FA5" w:rsidRDefault="00615991" w:rsidP="008838DB">
            <w:pPr>
              <w:spacing w:after="120"/>
              <w:jc w:val="center"/>
            </w:pPr>
          </w:p>
        </w:tc>
        <w:tc>
          <w:tcPr>
            <w:tcW w:w="1448" w:type="dxa"/>
          </w:tcPr>
          <w:p w14:paraId="2D494315" w14:textId="27935248" w:rsidR="00615991" w:rsidRPr="00635FA5" w:rsidRDefault="00615991" w:rsidP="008838DB">
            <w:pPr>
              <w:spacing w:after="120"/>
              <w:jc w:val="center"/>
            </w:pPr>
          </w:p>
        </w:tc>
      </w:tr>
      <w:tr w:rsidR="00615991" w:rsidRPr="00635FA5" w14:paraId="3177FEF7" w14:textId="77777777" w:rsidTr="005A13C5">
        <w:tc>
          <w:tcPr>
            <w:tcW w:w="2694" w:type="dxa"/>
          </w:tcPr>
          <w:p w14:paraId="33908C4A" w14:textId="118E34DE" w:rsidR="00615991" w:rsidRPr="00635FA5" w:rsidRDefault="00615991" w:rsidP="008838DB">
            <w:pPr>
              <w:spacing w:after="120"/>
              <w:jc w:val="both"/>
            </w:pPr>
            <w:r w:rsidRPr="00635FA5">
              <w:t>b) bugete locale</w:t>
            </w:r>
          </w:p>
        </w:tc>
        <w:tc>
          <w:tcPr>
            <w:tcW w:w="1058" w:type="dxa"/>
          </w:tcPr>
          <w:p w14:paraId="4B62CC0C" w14:textId="4657ECCF" w:rsidR="00615991" w:rsidRPr="00635FA5" w:rsidRDefault="00615991" w:rsidP="008838DB">
            <w:pPr>
              <w:spacing w:after="120"/>
              <w:jc w:val="center"/>
            </w:pPr>
            <w:r>
              <w:t>-</w:t>
            </w:r>
          </w:p>
        </w:tc>
        <w:tc>
          <w:tcPr>
            <w:tcW w:w="1366" w:type="dxa"/>
          </w:tcPr>
          <w:p w14:paraId="283AC80B" w14:textId="362498CB" w:rsidR="00615991" w:rsidRPr="00635FA5" w:rsidRDefault="00615991" w:rsidP="008838DB">
            <w:pPr>
              <w:spacing w:after="120"/>
              <w:jc w:val="center"/>
            </w:pPr>
            <w:r>
              <w:t>-</w:t>
            </w:r>
          </w:p>
        </w:tc>
        <w:tc>
          <w:tcPr>
            <w:tcW w:w="1466" w:type="dxa"/>
          </w:tcPr>
          <w:p w14:paraId="7219261C" w14:textId="3506642F" w:rsidR="00615991" w:rsidRPr="00635FA5" w:rsidRDefault="00615991" w:rsidP="008838DB">
            <w:pPr>
              <w:spacing w:after="120"/>
              <w:jc w:val="center"/>
            </w:pPr>
            <w:r>
              <w:t>-</w:t>
            </w:r>
          </w:p>
        </w:tc>
        <w:tc>
          <w:tcPr>
            <w:tcW w:w="1366" w:type="dxa"/>
          </w:tcPr>
          <w:p w14:paraId="49D7F163" w14:textId="513E4101" w:rsidR="00615991" w:rsidRPr="00635FA5" w:rsidRDefault="00615991" w:rsidP="008838DB">
            <w:pPr>
              <w:spacing w:after="120"/>
              <w:jc w:val="center"/>
            </w:pPr>
            <w:r>
              <w:t>-</w:t>
            </w:r>
          </w:p>
        </w:tc>
        <w:tc>
          <w:tcPr>
            <w:tcW w:w="1135" w:type="dxa"/>
          </w:tcPr>
          <w:p w14:paraId="7C544E7C" w14:textId="5C50ACB6" w:rsidR="00615991" w:rsidRPr="00635FA5" w:rsidRDefault="00615991" w:rsidP="008838DB">
            <w:pPr>
              <w:spacing w:after="120"/>
              <w:jc w:val="center"/>
            </w:pPr>
            <w:r>
              <w:t>-</w:t>
            </w:r>
          </w:p>
        </w:tc>
        <w:tc>
          <w:tcPr>
            <w:tcW w:w="1448" w:type="dxa"/>
          </w:tcPr>
          <w:p w14:paraId="4953DDFD" w14:textId="1DFEAACB" w:rsidR="00615991" w:rsidRPr="00635FA5" w:rsidRDefault="00615991" w:rsidP="008838DB">
            <w:pPr>
              <w:spacing w:after="120"/>
              <w:jc w:val="center"/>
            </w:pPr>
            <w:r>
              <w:t>-</w:t>
            </w:r>
          </w:p>
        </w:tc>
      </w:tr>
      <w:tr w:rsidR="00615991" w:rsidRPr="00635FA5" w14:paraId="4B985901" w14:textId="77777777" w:rsidTr="005A13C5">
        <w:tc>
          <w:tcPr>
            <w:tcW w:w="2694" w:type="dxa"/>
          </w:tcPr>
          <w:p w14:paraId="41F94191" w14:textId="4D675AF2" w:rsidR="00615991" w:rsidRPr="00635FA5" w:rsidRDefault="00615991" w:rsidP="008838DB">
            <w:pPr>
              <w:spacing w:after="120"/>
              <w:jc w:val="both"/>
              <w:rPr>
                <w:b/>
                <w:bCs/>
              </w:rPr>
            </w:pPr>
            <w:r w:rsidRPr="00635FA5">
              <w:rPr>
                <w:b/>
                <w:bCs/>
              </w:rPr>
              <w:t>4.4. Propuneri pentru acoperirea creşterii cheltuielilor bugetare</w:t>
            </w:r>
          </w:p>
        </w:tc>
        <w:tc>
          <w:tcPr>
            <w:tcW w:w="1058" w:type="dxa"/>
          </w:tcPr>
          <w:p w14:paraId="12553E7B" w14:textId="4DEAFE12" w:rsidR="00615991" w:rsidRPr="00635FA5" w:rsidRDefault="00615991" w:rsidP="008838DB">
            <w:pPr>
              <w:spacing w:after="120"/>
              <w:jc w:val="center"/>
            </w:pPr>
            <w:r>
              <w:t>-</w:t>
            </w:r>
          </w:p>
        </w:tc>
        <w:tc>
          <w:tcPr>
            <w:tcW w:w="1366" w:type="dxa"/>
          </w:tcPr>
          <w:p w14:paraId="6B4AB040" w14:textId="4B21C797" w:rsidR="00615991" w:rsidRPr="00635FA5" w:rsidRDefault="00615991" w:rsidP="008838DB">
            <w:pPr>
              <w:spacing w:after="120"/>
              <w:jc w:val="center"/>
            </w:pPr>
            <w:r>
              <w:t>-</w:t>
            </w:r>
          </w:p>
        </w:tc>
        <w:tc>
          <w:tcPr>
            <w:tcW w:w="1466" w:type="dxa"/>
          </w:tcPr>
          <w:p w14:paraId="2B58709A" w14:textId="69F2B788" w:rsidR="00615991" w:rsidRPr="00635FA5" w:rsidRDefault="00615991" w:rsidP="008838DB">
            <w:pPr>
              <w:spacing w:after="120"/>
              <w:jc w:val="center"/>
            </w:pPr>
            <w:r>
              <w:t>-</w:t>
            </w:r>
          </w:p>
        </w:tc>
        <w:tc>
          <w:tcPr>
            <w:tcW w:w="1366" w:type="dxa"/>
          </w:tcPr>
          <w:p w14:paraId="7AE48667" w14:textId="1F77C7C8" w:rsidR="00615991" w:rsidRPr="00635FA5" w:rsidRDefault="00615991" w:rsidP="008838DB">
            <w:pPr>
              <w:spacing w:after="120"/>
              <w:jc w:val="center"/>
            </w:pPr>
            <w:r>
              <w:t>-</w:t>
            </w:r>
          </w:p>
        </w:tc>
        <w:tc>
          <w:tcPr>
            <w:tcW w:w="1135" w:type="dxa"/>
          </w:tcPr>
          <w:p w14:paraId="2C05220B" w14:textId="5138024C" w:rsidR="00615991" w:rsidRPr="00635FA5" w:rsidRDefault="00615991" w:rsidP="008838DB">
            <w:pPr>
              <w:spacing w:after="120"/>
              <w:jc w:val="center"/>
            </w:pPr>
            <w:r>
              <w:t>-</w:t>
            </w:r>
          </w:p>
        </w:tc>
        <w:tc>
          <w:tcPr>
            <w:tcW w:w="1448" w:type="dxa"/>
          </w:tcPr>
          <w:p w14:paraId="5BF7C6F4" w14:textId="6CBCF1C0" w:rsidR="00615991" w:rsidRPr="00635FA5" w:rsidRDefault="00615991" w:rsidP="008838DB">
            <w:pPr>
              <w:spacing w:after="120"/>
              <w:jc w:val="center"/>
            </w:pPr>
            <w:r>
              <w:t>-</w:t>
            </w:r>
          </w:p>
        </w:tc>
      </w:tr>
      <w:tr w:rsidR="00615991" w:rsidRPr="00635FA5" w14:paraId="0936FEC1" w14:textId="77777777" w:rsidTr="005A13C5">
        <w:tc>
          <w:tcPr>
            <w:tcW w:w="2694" w:type="dxa"/>
          </w:tcPr>
          <w:p w14:paraId="31602873" w14:textId="19763228" w:rsidR="00615991" w:rsidRPr="00635FA5" w:rsidRDefault="00615991" w:rsidP="008838DB">
            <w:pPr>
              <w:spacing w:after="120"/>
              <w:jc w:val="both"/>
              <w:rPr>
                <w:b/>
                <w:bCs/>
              </w:rPr>
            </w:pPr>
            <w:r w:rsidRPr="00635FA5">
              <w:rPr>
                <w:b/>
                <w:bCs/>
              </w:rPr>
              <w:t>4.5. Propuneri pentru a compensa reducerea veniturilor bugetare</w:t>
            </w:r>
          </w:p>
        </w:tc>
        <w:tc>
          <w:tcPr>
            <w:tcW w:w="1058" w:type="dxa"/>
          </w:tcPr>
          <w:p w14:paraId="50FCA196" w14:textId="5B3BD89E" w:rsidR="00615991" w:rsidRPr="00635FA5" w:rsidRDefault="00615991" w:rsidP="008838DB">
            <w:pPr>
              <w:spacing w:after="120"/>
              <w:jc w:val="center"/>
            </w:pPr>
            <w:r>
              <w:t>-</w:t>
            </w:r>
          </w:p>
        </w:tc>
        <w:tc>
          <w:tcPr>
            <w:tcW w:w="1366" w:type="dxa"/>
          </w:tcPr>
          <w:p w14:paraId="06CFE138" w14:textId="21F1F9FF" w:rsidR="00615991" w:rsidRPr="00635FA5" w:rsidRDefault="00615991" w:rsidP="008838DB">
            <w:pPr>
              <w:spacing w:after="120"/>
              <w:jc w:val="center"/>
            </w:pPr>
            <w:r>
              <w:t>-</w:t>
            </w:r>
          </w:p>
        </w:tc>
        <w:tc>
          <w:tcPr>
            <w:tcW w:w="1466" w:type="dxa"/>
          </w:tcPr>
          <w:p w14:paraId="6FFFE022" w14:textId="5B1061E2" w:rsidR="00615991" w:rsidRPr="00635FA5" w:rsidRDefault="00615991" w:rsidP="008838DB">
            <w:pPr>
              <w:spacing w:after="120"/>
              <w:jc w:val="center"/>
            </w:pPr>
            <w:r>
              <w:t>-</w:t>
            </w:r>
          </w:p>
        </w:tc>
        <w:tc>
          <w:tcPr>
            <w:tcW w:w="1366" w:type="dxa"/>
          </w:tcPr>
          <w:p w14:paraId="46465A6F" w14:textId="1E88086D" w:rsidR="00615991" w:rsidRPr="00635FA5" w:rsidRDefault="00615991" w:rsidP="008838DB">
            <w:pPr>
              <w:spacing w:after="120"/>
              <w:jc w:val="center"/>
            </w:pPr>
            <w:r>
              <w:t>-</w:t>
            </w:r>
          </w:p>
        </w:tc>
        <w:tc>
          <w:tcPr>
            <w:tcW w:w="1135" w:type="dxa"/>
          </w:tcPr>
          <w:p w14:paraId="14082553" w14:textId="63B7F199" w:rsidR="00615991" w:rsidRPr="00635FA5" w:rsidRDefault="00615991" w:rsidP="008838DB">
            <w:pPr>
              <w:spacing w:after="120"/>
              <w:jc w:val="center"/>
            </w:pPr>
            <w:r>
              <w:t>-</w:t>
            </w:r>
          </w:p>
        </w:tc>
        <w:tc>
          <w:tcPr>
            <w:tcW w:w="1448" w:type="dxa"/>
          </w:tcPr>
          <w:p w14:paraId="178CA231" w14:textId="22BC56AC" w:rsidR="00615991" w:rsidRPr="00635FA5" w:rsidRDefault="00615991" w:rsidP="008838DB">
            <w:pPr>
              <w:spacing w:after="120"/>
              <w:jc w:val="center"/>
            </w:pPr>
            <w:r>
              <w:t>-</w:t>
            </w:r>
          </w:p>
        </w:tc>
      </w:tr>
      <w:tr w:rsidR="00615991" w:rsidRPr="00635FA5" w14:paraId="153D0F09" w14:textId="77777777" w:rsidTr="005A13C5">
        <w:tc>
          <w:tcPr>
            <w:tcW w:w="2694" w:type="dxa"/>
          </w:tcPr>
          <w:p w14:paraId="4E7FCDBB" w14:textId="336B0E28" w:rsidR="00615991" w:rsidRPr="00635FA5" w:rsidRDefault="00615991" w:rsidP="008838DB">
            <w:pPr>
              <w:spacing w:after="120"/>
              <w:jc w:val="both"/>
              <w:rPr>
                <w:b/>
                <w:bCs/>
              </w:rPr>
            </w:pPr>
            <w:r w:rsidRPr="00635FA5">
              <w:rPr>
                <w:b/>
                <w:bCs/>
              </w:rPr>
              <w:t>4.6. Calcule detaliate privind fundamentarea modificărilor  veniturilor şi/sau cheltuielilor bugetare</w:t>
            </w:r>
          </w:p>
        </w:tc>
        <w:tc>
          <w:tcPr>
            <w:tcW w:w="1058" w:type="dxa"/>
          </w:tcPr>
          <w:p w14:paraId="18046DC1" w14:textId="2E55C107" w:rsidR="00615991" w:rsidRPr="00635FA5" w:rsidRDefault="00615991" w:rsidP="008838DB">
            <w:pPr>
              <w:spacing w:after="120"/>
              <w:jc w:val="center"/>
            </w:pPr>
            <w:r>
              <w:t>-</w:t>
            </w:r>
          </w:p>
        </w:tc>
        <w:tc>
          <w:tcPr>
            <w:tcW w:w="1366" w:type="dxa"/>
          </w:tcPr>
          <w:p w14:paraId="7CF35163" w14:textId="2ADAFA64" w:rsidR="00615991" w:rsidRPr="00635FA5" w:rsidRDefault="00615991" w:rsidP="008838DB">
            <w:pPr>
              <w:spacing w:after="120"/>
              <w:jc w:val="center"/>
            </w:pPr>
            <w:r>
              <w:t>-</w:t>
            </w:r>
          </w:p>
        </w:tc>
        <w:tc>
          <w:tcPr>
            <w:tcW w:w="1466" w:type="dxa"/>
          </w:tcPr>
          <w:p w14:paraId="1D863FB9" w14:textId="2DC4A7CB" w:rsidR="00615991" w:rsidRPr="00635FA5" w:rsidRDefault="00615991" w:rsidP="008838DB">
            <w:pPr>
              <w:spacing w:after="120"/>
              <w:jc w:val="center"/>
            </w:pPr>
            <w:r>
              <w:t>-</w:t>
            </w:r>
          </w:p>
        </w:tc>
        <w:tc>
          <w:tcPr>
            <w:tcW w:w="1366" w:type="dxa"/>
          </w:tcPr>
          <w:p w14:paraId="42476051" w14:textId="6C65EBF0" w:rsidR="00615991" w:rsidRPr="00635FA5" w:rsidRDefault="00615991" w:rsidP="008838DB">
            <w:pPr>
              <w:spacing w:after="120"/>
              <w:jc w:val="center"/>
            </w:pPr>
            <w:r>
              <w:t>-</w:t>
            </w:r>
          </w:p>
        </w:tc>
        <w:tc>
          <w:tcPr>
            <w:tcW w:w="1135" w:type="dxa"/>
          </w:tcPr>
          <w:p w14:paraId="4746E189" w14:textId="1D19442F" w:rsidR="00615991" w:rsidRPr="00635FA5" w:rsidRDefault="00615991" w:rsidP="008838DB">
            <w:pPr>
              <w:spacing w:after="120"/>
              <w:jc w:val="center"/>
            </w:pPr>
            <w:r>
              <w:t>-</w:t>
            </w:r>
          </w:p>
        </w:tc>
        <w:tc>
          <w:tcPr>
            <w:tcW w:w="1448" w:type="dxa"/>
          </w:tcPr>
          <w:p w14:paraId="05472402" w14:textId="6D598B6C" w:rsidR="00615991" w:rsidRPr="00635FA5" w:rsidRDefault="00615991" w:rsidP="008838DB">
            <w:pPr>
              <w:spacing w:after="120"/>
              <w:jc w:val="center"/>
            </w:pPr>
            <w:r>
              <w:t>-</w:t>
            </w:r>
          </w:p>
        </w:tc>
      </w:tr>
      <w:tr w:rsidR="00A75729" w:rsidRPr="00635FA5" w14:paraId="260B3CE9" w14:textId="77777777" w:rsidTr="00D81420">
        <w:tc>
          <w:tcPr>
            <w:tcW w:w="10533" w:type="dxa"/>
            <w:gridSpan w:val="7"/>
          </w:tcPr>
          <w:p w14:paraId="38A65360" w14:textId="7BB19CF9" w:rsidR="00A75729" w:rsidRPr="00635FA5" w:rsidRDefault="00A75729" w:rsidP="008838DB">
            <w:pPr>
              <w:spacing w:after="120"/>
              <w:jc w:val="both"/>
              <w:rPr>
                <w:b/>
                <w:bCs/>
              </w:rPr>
            </w:pPr>
            <w:r w:rsidRPr="00635FA5">
              <w:rPr>
                <w:b/>
                <w:bCs/>
              </w:rPr>
              <w:t>4.7. Prezentarea, în cazul proiectelor de acte normative</w:t>
            </w:r>
            <w:r w:rsidR="00A60FAE" w:rsidRPr="00635FA5">
              <w:rPr>
                <w:b/>
                <w:bCs/>
              </w:rPr>
              <w:t xml:space="preserve"> a căror adaptare atrage majorarea cheltuielilor bugetare, a următoarelor documente:</w:t>
            </w:r>
          </w:p>
          <w:p w14:paraId="67DFFAEF" w14:textId="350B0C6A" w:rsidR="00A60FAE" w:rsidRPr="00635FA5" w:rsidRDefault="00A60FAE" w:rsidP="008838DB">
            <w:pPr>
              <w:spacing w:after="120"/>
              <w:jc w:val="both"/>
            </w:pPr>
            <w:r w:rsidRPr="00635FA5">
              <w:t>a) fișa financiară prevăzută la art. 15 din Legea nr. 500/2002 privind finanțele publice, cu modificările și completările ulterioare, însoțită de ipotezele și metodologia de calcul utilizată;</w:t>
            </w:r>
          </w:p>
          <w:p w14:paraId="699F79A9" w14:textId="3858F0A9" w:rsidR="00A60FAE" w:rsidRPr="00635FA5" w:rsidRDefault="00A60FAE" w:rsidP="008838DB">
            <w:pPr>
              <w:spacing w:after="120"/>
              <w:jc w:val="both"/>
            </w:pPr>
            <w:r w:rsidRPr="00635FA5">
              <w:t xml:space="preserve">b) declarație conform căreia majorarea de cheltuială respectivă este compatibilă cu obiectivele și prioritățile strategice specificate în strategia fiscal-bugetară, cu legea bugetară anuală și cu plafoanele </w:t>
            </w:r>
            <w:r w:rsidR="00A82648" w:rsidRPr="00635FA5">
              <w:t xml:space="preserve">de cheltuieli </w:t>
            </w:r>
            <w:r w:rsidRPr="00635FA5">
              <w:t>prezentate în strategia fiscal-bugetară.</w:t>
            </w:r>
          </w:p>
        </w:tc>
      </w:tr>
      <w:tr w:rsidR="00B4537B" w:rsidRPr="00635FA5" w14:paraId="675CE50B" w14:textId="77777777" w:rsidTr="00D81420">
        <w:tc>
          <w:tcPr>
            <w:tcW w:w="10533" w:type="dxa"/>
            <w:gridSpan w:val="7"/>
          </w:tcPr>
          <w:p w14:paraId="7EDA715A" w14:textId="057BEFD2" w:rsidR="00B4537B" w:rsidRDefault="00B4537B" w:rsidP="008838DB">
            <w:pPr>
              <w:spacing w:after="120"/>
              <w:rPr>
                <w:b/>
                <w:bCs/>
                <w:noProof/>
              </w:rPr>
            </w:pPr>
            <w:r w:rsidRPr="00635FA5">
              <w:rPr>
                <w:b/>
                <w:bCs/>
                <w:noProof/>
              </w:rPr>
              <w:t>4.8. Alte informații</w:t>
            </w:r>
          </w:p>
          <w:p w14:paraId="64B74EF4" w14:textId="42CD6E1C" w:rsidR="00A902E1" w:rsidRPr="00393E05" w:rsidRDefault="00393E05" w:rsidP="00393E05">
            <w:pPr>
              <w:spacing w:after="120"/>
              <w:jc w:val="both"/>
              <w:rPr>
                <w:bCs/>
                <w:noProof/>
              </w:rPr>
            </w:pPr>
            <w:r w:rsidRPr="00393E05">
              <w:t>Avand în vedere faptul că, autoritățile de management pentru programele operaționale, respectiv autoritățile responsabile de implementarea Programul Național de Dezvoltare Rurală, vor încheia acte adiționale la contractele de finanțare, în limitele aprobate pentru programele operaționale, potrivit art. 12 din OUG 40/2015 privind gestionarea financiară a fondurilor europene pentru perioada de programare 2014-2020, cu modificările și completările ulterioare, cu încadrarea în creditele de angajament, aprobate anual cu aceasta destinație, prin legile bugetare anuale, la acest moment nu se estimează un impact  asupra bugetului de stat pentru toată perioada de implementare.</w:t>
            </w:r>
          </w:p>
        </w:tc>
      </w:tr>
    </w:tbl>
    <w:p w14:paraId="2F7ACEA9" w14:textId="244FFF1C" w:rsidR="003864F6" w:rsidRPr="00635FA5" w:rsidRDefault="00670C79" w:rsidP="008838DB">
      <w:pPr>
        <w:spacing w:after="120"/>
        <w:jc w:val="both"/>
        <w:rPr>
          <w:b/>
        </w:rPr>
      </w:pPr>
      <w:r w:rsidRPr="00635FA5">
        <w:rPr>
          <w:b/>
        </w:rPr>
        <w:t xml:space="preserve">   </w:t>
      </w:r>
    </w:p>
    <w:p w14:paraId="777ED2E4" w14:textId="77777777" w:rsidR="00B4537B" w:rsidRPr="00635FA5" w:rsidRDefault="00670C79" w:rsidP="008838DB">
      <w:pPr>
        <w:spacing w:after="120"/>
        <w:ind w:firstLine="720"/>
        <w:jc w:val="both"/>
        <w:rPr>
          <w:b/>
        </w:rPr>
      </w:pPr>
      <w:r w:rsidRPr="00635FA5">
        <w:rPr>
          <w:b/>
        </w:rPr>
        <w:t xml:space="preserve">Secţiunea a 5-a </w:t>
      </w:r>
    </w:p>
    <w:p w14:paraId="7E1BCAF6" w14:textId="576D5D21" w:rsidR="00670C79" w:rsidRPr="00635FA5" w:rsidRDefault="00670C79" w:rsidP="008838DB">
      <w:pPr>
        <w:spacing w:after="120"/>
        <w:ind w:firstLine="720"/>
        <w:jc w:val="both"/>
        <w:rPr>
          <w:b/>
        </w:rPr>
      </w:pPr>
      <w:r w:rsidRPr="00635FA5">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635FA5" w14:paraId="327176B4" w14:textId="77777777" w:rsidTr="00D81420">
        <w:trPr>
          <w:trHeight w:val="561"/>
        </w:trPr>
        <w:tc>
          <w:tcPr>
            <w:tcW w:w="10533" w:type="dxa"/>
          </w:tcPr>
          <w:p w14:paraId="4F9076D7" w14:textId="407D2D2C" w:rsidR="00973701" w:rsidRPr="00635FA5" w:rsidRDefault="00973701" w:rsidP="008838DB">
            <w:pPr>
              <w:spacing w:after="120"/>
              <w:jc w:val="both"/>
              <w:rPr>
                <w:b/>
                <w:bCs/>
              </w:rPr>
            </w:pPr>
            <w:r w:rsidRPr="00635FA5">
              <w:rPr>
                <w:b/>
                <w:bCs/>
              </w:rPr>
              <w:t>5.1. Măsuri normative necesare pentru aplicarea prevederilor proiectului de act normativ</w:t>
            </w:r>
          </w:p>
          <w:p w14:paraId="78CB7914" w14:textId="77777777" w:rsidR="001F37F9" w:rsidRPr="00635FA5" w:rsidRDefault="001F37F9" w:rsidP="001F37F9">
            <w:pPr>
              <w:spacing w:after="120"/>
              <w:jc w:val="both"/>
              <w:rPr>
                <w:b/>
                <w:bCs/>
              </w:rPr>
            </w:pPr>
            <w:r w:rsidRPr="007E0AE4">
              <w:t>Proiectul de act normativ nu se referă la acest subiect.</w:t>
            </w:r>
          </w:p>
          <w:p w14:paraId="79B335E6" w14:textId="7C87FE32" w:rsidR="00973701" w:rsidRPr="00393E05" w:rsidRDefault="00973701" w:rsidP="008838DB">
            <w:pPr>
              <w:tabs>
                <w:tab w:val="left" w:pos="201"/>
              </w:tabs>
              <w:spacing w:after="120"/>
              <w:jc w:val="both"/>
              <w:rPr>
                <w:b/>
                <w:bCs/>
              </w:rPr>
            </w:pPr>
            <w:r w:rsidRPr="00393E05">
              <w:rPr>
                <w:b/>
                <w:bCs/>
              </w:rPr>
              <w:t>5.2. Impactul asupra legislației în domeniul achizițiilor publice</w:t>
            </w:r>
          </w:p>
          <w:p w14:paraId="58F52DF9" w14:textId="77777777" w:rsidR="001F37F9" w:rsidRPr="00635FA5" w:rsidRDefault="001F37F9" w:rsidP="001F37F9">
            <w:pPr>
              <w:spacing w:after="120"/>
              <w:jc w:val="both"/>
              <w:rPr>
                <w:b/>
                <w:bCs/>
              </w:rPr>
            </w:pPr>
            <w:r w:rsidRPr="007E0AE4">
              <w:t>Proiectul de act normativ nu se referă la acest subiect.</w:t>
            </w:r>
          </w:p>
          <w:p w14:paraId="3CE6B9A6" w14:textId="78845DF6" w:rsidR="00973701" w:rsidRPr="00393E05" w:rsidRDefault="00973701" w:rsidP="008838DB">
            <w:pPr>
              <w:tabs>
                <w:tab w:val="left" w:pos="201"/>
              </w:tabs>
              <w:spacing w:after="120"/>
              <w:jc w:val="both"/>
              <w:rPr>
                <w:b/>
                <w:bCs/>
              </w:rPr>
            </w:pPr>
            <w:r w:rsidRPr="00393E05">
              <w:rPr>
                <w:b/>
                <w:bCs/>
              </w:rPr>
              <w:t>5.3. Conformitatea  proiectului de act normativ cu legislaţia UE (în cazul proiectelor ce transpun sau asigură aplicarea unor prevederi de drept UE)</w:t>
            </w:r>
          </w:p>
          <w:p w14:paraId="09158D06" w14:textId="7EEBFF96" w:rsidR="00973701" w:rsidRPr="00393E05" w:rsidRDefault="00973701" w:rsidP="008838DB">
            <w:pPr>
              <w:tabs>
                <w:tab w:val="left" w:pos="201"/>
              </w:tabs>
              <w:spacing w:after="120"/>
              <w:jc w:val="both"/>
              <w:rPr>
                <w:b/>
                <w:bCs/>
              </w:rPr>
            </w:pPr>
            <w:r w:rsidRPr="00393E05">
              <w:rPr>
                <w:b/>
                <w:bCs/>
              </w:rPr>
              <w:t>5.3.1. Măsuri normative necesare transpunerii directivelor UE</w:t>
            </w:r>
          </w:p>
          <w:p w14:paraId="3E810491" w14:textId="77777777" w:rsidR="001F37F9" w:rsidRPr="00635FA5" w:rsidRDefault="00456611" w:rsidP="001F37F9">
            <w:pPr>
              <w:spacing w:after="120"/>
              <w:jc w:val="both"/>
              <w:rPr>
                <w:b/>
                <w:bCs/>
              </w:rPr>
            </w:pPr>
            <w:r w:rsidRPr="00393E05">
              <w:rPr>
                <w:b/>
                <w:bCs/>
              </w:rPr>
              <w:t xml:space="preserve">    </w:t>
            </w:r>
            <w:r w:rsidR="001F37F9" w:rsidRPr="007E0AE4">
              <w:t>Proiectul de act normativ nu se referă la acest subiect.</w:t>
            </w:r>
          </w:p>
          <w:p w14:paraId="4087DBF1" w14:textId="30300D75" w:rsidR="00973701" w:rsidRPr="00393E05" w:rsidRDefault="00674D58" w:rsidP="008838DB">
            <w:pPr>
              <w:tabs>
                <w:tab w:val="left" w:pos="201"/>
              </w:tabs>
              <w:spacing w:after="120"/>
              <w:jc w:val="both"/>
              <w:rPr>
                <w:b/>
                <w:bCs/>
              </w:rPr>
            </w:pPr>
            <w:r w:rsidRPr="00393E05">
              <w:rPr>
                <w:b/>
                <w:bCs/>
              </w:rPr>
              <w:t>5.3.2. Măsuri normative necesare aplicării actelor legislative UE</w:t>
            </w:r>
          </w:p>
          <w:p w14:paraId="73D33CD2" w14:textId="77777777" w:rsidR="001F37F9" w:rsidRPr="00635FA5" w:rsidRDefault="00552EB0" w:rsidP="001F37F9">
            <w:pPr>
              <w:spacing w:after="120"/>
              <w:jc w:val="both"/>
              <w:rPr>
                <w:b/>
                <w:bCs/>
              </w:rPr>
            </w:pPr>
            <w:r w:rsidRPr="00393E05">
              <w:rPr>
                <w:b/>
                <w:bCs/>
                <w:lang w:val="it-IT"/>
              </w:rPr>
              <w:lastRenderedPageBreak/>
              <w:t xml:space="preserve">    </w:t>
            </w:r>
            <w:r w:rsidR="001F37F9" w:rsidRPr="007E0AE4">
              <w:t>Proiectul de act normativ nu se referă la acest subiect.</w:t>
            </w:r>
          </w:p>
          <w:p w14:paraId="1EE1AEFA" w14:textId="77777777" w:rsidR="001F37F9" w:rsidRPr="00635FA5" w:rsidRDefault="00674D58" w:rsidP="001F37F9">
            <w:pPr>
              <w:spacing w:after="120"/>
              <w:jc w:val="both"/>
              <w:rPr>
                <w:b/>
                <w:bCs/>
              </w:rPr>
            </w:pPr>
            <w:r w:rsidRPr="00393E05">
              <w:rPr>
                <w:b/>
                <w:bCs/>
              </w:rPr>
              <w:t>5.4. Hotărâri ale Curţii de Justiţie a Uniunii Europene</w:t>
            </w:r>
            <w:r w:rsidR="002623AD" w:rsidRPr="00393E05">
              <w:rPr>
                <w:b/>
                <w:bCs/>
              </w:rPr>
              <w:t xml:space="preserve"> - </w:t>
            </w:r>
            <w:r w:rsidR="001F37F9" w:rsidRPr="007E0AE4">
              <w:t>Proiectul de act normativ nu se referă la acest subiect.</w:t>
            </w:r>
          </w:p>
          <w:p w14:paraId="5468D61D" w14:textId="7F757795" w:rsidR="00674D58" w:rsidRDefault="00674D58" w:rsidP="008838DB">
            <w:pPr>
              <w:tabs>
                <w:tab w:val="left" w:pos="201"/>
              </w:tabs>
              <w:spacing w:after="120"/>
              <w:jc w:val="both"/>
              <w:rPr>
                <w:b/>
                <w:bCs/>
              </w:rPr>
            </w:pPr>
            <w:r w:rsidRPr="00635FA5">
              <w:rPr>
                <w:b/>
                <w:bCs/>
              </w:rPr>
              <w:t>5.5. Alte acte normative şi/sau documente internaţionale din care decurg angajamente asumate</w:t>
            </w:r>
            <w:r w:rsidR="002623AD" w:rsidRPr="00635FA5">
              <w:rPr>
                <w:b/>
                <w:bCs/>
              </w:rPr>
              <w:t xml:space="preserve"> </w:t>
            </w:r>
          </w:p>
          <w:p w14:paraId="58799D57" w14:textId="25D3C908" w:rsidR="001F37F9" w:rsidRPr="001F37F9" w:rsidRDefault="001F37F9" w:rsidP="001F37F9">
            <w:pPr>
              <w:spacing w:after="120"/>
              <w:jc w:val="both"/>
              <w:rPr>
                <w:b/>
                <w:bCs/>
              </w:rPr>
            </w:pPr>
            <w:r w:rsidRPr="007E0AE4">
              <w:t>Proiectul de act normativ nu se referă la acest subiect.</w:t>
            </w:r>
          </w:p>
          <w:p w14:paraId="7C430706" w14:textId="174768C2" w:rsidR="00973701" w:rsidRPr="00635FA5" w:rsidRDefault="00674D58" w:rsidP="008838DB">
            <w:pPr>
              <w:tabs>
                <w:tab w:val="left" w:pos="201"/>
              </w:tabs>
              <w:spacing w:after="120"/>
              <w:jc w:val="both"/>
            </w:pPr>
            <w:r w:rsidRPr="00635FA5">
              <w:rPr>
                <w:b/>
                <w:bCs/>
              </w:rPr>
              <w:t>5.6. Alte informații</w:t>
            </w:r>
            <w:r w:rsidR="00393E05">
              <w:rPr>
                <w:b/>
                <w:bCs/>
              </w:rPr>
              <w:t xml:space="preserve">- </w:t>
            </w:r>
            <w:r w:rsidR="00B73EBD" w:rsidRPr="007E0AE4">
              <w:t>Nu au fost identificate</w:t>
            </w:r>
          </w:p>
        </w:tc>
      </w:tr>
    </w:tbl>
    <w:p w14:paraId="151F4CE2" w14:textId="77B3691B" w:rsidR="00393E05" w:rsidRDefault="003C63BE" w:rsidP="008838DB">
      <w:pPr>
        <w:spacing w:after="120"/>
        <w:rPr>
          <w:b/>
        </w:rPr>
      </w:pPr>
      <w:r>
        <w:rPr>
          <w:b/>
        </w:rPr>
        <w:lastRenderedPageBreak/>
        <w:t xml:space="preserve">  </w:t>
      </w:r>
    </w:p>
    <w:p w14:paraId="5CEA624B" w14:textId="77777777" w:rsidR="00393E05" w:rsidRPr="00635FA5" w:rsidRDefault="00393E05" w:rsidP="008838DB">
      <w:pPr>
        <w:spacing w:after="120"/>
        <w:rPr>
          <w:b/>
        </w:rPr>
      </w:pPr>
    </w:p>
    <w:p w14:paraId="6F04DAD9" w14:textId="7B8E5E79" w:rsidR="00BB0782" w:rsidRPr="00635FA5" w:rsidRDefault="00BB0782" w:rsidP="008838DB">
      <w:pPr>
        <w:spacing w:after="120"/>
        <w:ind w:firstLine="720"/>
        <w:rPr>
          <w:b/>
        </w:rPr>
      </w:pPr>
      <w:r w:rsidRPr="00635FA5">
        <w:rPr>
          <w:b/>
        </w:rPr>
        <w:t>Secțiunea a 6-a</w:t>
      </w:r>
    </w:p>
    <w:p w14:paraId="4113E59E" w14:textId="59419D76" w:rsidR="00670C79" w:rsidRPr="00635FA5" w:rsidRDefault="00670C79" w:rsidP="008838DB">
      <w:pPr>
        <w:spacing w:after="120"/>
        <w:ind w:firstLine="720"/>
        <w:rPr>
          <w:b/>
        </w:rPr>
      </w:pPr>
      <w:r w:rsidRPr="00635FA5">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35FA5" w14:paraId="5EB7CDBC" w14:textId="77777777" w:rsidTr="00D81420">
        <w:tc>
          <w:tcPr>
            <w:tcW w:w="10533" w:type="dxa"/>
          </w:tcPr>
          <w:p w14:paraId="598B642C" w14:textId="50A84CE9" w:rsidR="00770E01" w:rsidRPr="00635FA5" w:rsidRDefault="00770E01" w:rsidP="008838DB">
            <w:pPr>
              <w:spacing w:after="120"/>
              <w:jc w:val="both"/>
              <w:rPr>
                <w:b/>
                <w:bCs/>
              </w:rPr>
            </w:pPr>
            <w:r w:rsidRPr="00635FA5">
              <w:rPr>
                <w:b/>
                <w:bCs/>
              </w:rPr>
              <w:t>6.1. Informații privind neaplicarea procedurii de participare la elaborarea actelor normative</w:t>
            </w:r>
          </w:p>
          <w:p w14:paraId="3A93CCCC" w14:textId="77777777" w:rsidR="001F37F9" w:rsidRPr="00635FA5" w:rsidRDefault="001F37F9" w:rsidP="001F37F9">
            <w:pPr>
              <w:spacing w:after="120"/>
              <w:jc w:val="both"/>
              <w:rPr>
                <w:b/>
                <w:bCs/>
              </w:rPr>
            </w:pPr>
            <w:r w:rsidRPr="007E0AE4">
              <w:t>Proiectul de act normativ nu se referă la acest subiect.</w:t>
            </w:r>
          </w:p>
          <w:p w14:paraId="0B61431A" w14:textId="044D21FE" w:rsidR="00770E01" w:rsidRPr="00635FA5" w:rsidRDefault="00770E01" w:rsidP="008838DB">
            <w:pPr>
              <w:spacing w:after="120"/>
              <w:jc w:val="both"/>
              <w:rPr>
                <w:b/>
                <w:bCs/>
              </w:rPr>
            </w:pPr>
            <w:r w:rsidRPr="00635FA5">
              <w:rPr>
                <w:b/>
                <w:bCs/>
              </w:rPr>
              <w:t>6.2. Informaţii privind procesul de consultare cu organizaţii neguvernamentale, institute de cercetare şi alte organisme implicate</w:t>
            </w:r>
          </w:p>
          <w:p w14:paraId="160FB600" w14:textId="77777777" w:rsidR="001F37F9" w:rsidRPr="00635FA5" w:rsidRDefault="001F37F9" w:rsidP="001F37F9">
            <w:pPr>
              <w:spacing w:after="120"/>
              <w:jc w:val="both"/>
              <w:rPr>
                <w:b/>
                <w:bCs/>
              </w:rPr>
            </w:pPr>
            <w:r w:rsidRPr="007E0AE4">
              <w:t>Proiectul de act normativ nu se referă la acest subiect.</w:t>
            </w:r>
          </w:p>
          <w:p w14:paraId="2BABECC5" w14:textId="5AB3CE08" w:rsidR="00926ABC" w:rsidRPr="00635FA5" w:rsidRDefault="00770E01" w:rsidP="008838DB">
            <w:pPr>
              <w:spacing w:after="120"/>
              <w:jc w:val="both"/>
              <w:rPr>
                <w:b/>
                <w:bCs/>
              </w:rPr>
            </w:pPr>
            <w:r w:rsidRPr="00635FA5">
              <w:rPr>
                <w:b/>
                <w:bCs/>
              </w:rPr>
              <w:t>6.3. Informații despre consultările organizate cu autoritățile administrației publice locale</w:t>
            </w:r>
          </w:p>
          <w:p w14:paraId="6EE3D76B" w14:textId="77777777" w:rsidR="001F37F9" w:rsidRPr="00635FA5" w:rsidRDefault="001F37F9" w:rsidP="001F37F9">
            <w:pPr>
              <w:spacing w:after="120"/>
              <w:jc w:val="both"/>
              <w:rPr>
                <w:b/>
                <w:bCs/>
              </w:rPr>
            </w:pPr>
            <w:r w:rsidRPr="007E0AE4">
              <w:t>Proiectul de act normativ nu se referă la acest subiect.</w:t>
            </w:r>
          </w:p>
          <w:p w14:paraId="53F02791" w14:textId="383D0698" w:rsidR="00770E01" w:rsidRPr="00635FA5" w:rsidRDefault="00770E01" w:rsidP="008838DB">
            <w:pPr>
              <w:spacing w:after="120"/>
              <w:jc w:val="both"/>
              <w:rPr>
                <w:b/>
                <w:bCs/>
              </w:rPr>
            </w:pPr>
            <w:r w:rsidRPr="00635FA5">
              <w:rPr>
                <w:b/>
                <w:bCs/>
              </w:rPr>
              <w:t>6.4. Informații privind puncte de vedere/opinii emise de organisme consulative constituite prin acte normative</w:t>
            </w:r>
          </w:p>
          <w:p w14:paraId="0DE0AE79" w14:textId="77777777" w:rsidR="001F37F9" w:rsidRPr="00635FA5" w:rsidRDefault="001F37F9" w:rsidP="001F37F9">
            <w:pPr>
              <w:spacing w:after="120"/>
              <w:jc w:val="both"/>
              <w:rPr>
                <w:b/>
                <w:bCs/>
              </w:rPr>
            </w:pPr>
            <w:r w:rsidRPr="007E0AE4">
              <w:t>Proiectul de act normativ nu se referă la acest subiect.</w:t>
            </w:r>
          </w:p>
          <w:p w14:paraId="0FF572CC" w14:textId="3F3A66CE" w:rsidR="00770E01" w:rsidRPr="00635FA5" w:rsidRDefault="00770E01" w:rsidP="008838DB">
            <w:pPr>
              <w:spacing w:after="120"/>
              <w:jc w:val="both"/>
              <w:rPr>
                <w:b/>
                <w:bCs/>
              </w:rPr>
            </w:pPr>
            <w:r w:rsidRPr="00635FA5">
              <w:rPr>
                <w:b/>
                <w:bCs/>
              </w:rPr>
              <w:t>6.5</w:t>
            </w:r>
            <w:r w:rsidR="004555DD" w:rsidRPr="00635FA5">
              <w:rPr>
                <w:b/>
                <w:bCs/>
              </w:rPr>
              <w:t>.</w:t>
            </w:r>
            <w:r w:rsidRPr="00635FA5">
              <w:rPr>
                <w:b/>
                <w:bCs/>
              </w:rPr>
              <w:t xml:space="preserve"> Informații privind avizarea de către:</w:t>
            </w:r>
          </w:p>
          <w:p w14:paraId="3DD2ED4C" w14:textId="7892DA46" w:rsidR="00770E01" w:rsidRPr="00635FA5" w:rsidRDefault="00770E01" w:rsidP="008838DB">
            <w:pPr>
              <w:spacing w:after="120"/>
              <w:jc w:val="both"/>
            </w:pPr>
            <w:r w:rsidRPr="00635FA5">
              <w:t xml:space="preserve">a) Consiliul </w:t>
            </w:r>
            <w:r w:rsidR="008F6907" w:rsidRPr="00635FA5">
              <w:t>L</w:t>
            </w:r>
            <w:r w:rsidRPr="00635FA5">
              <w:t>egislativ</w:t>
            </w:r>
            <w:r w:rsidR="00B73EBD">
              <w:t>-</w:t>
            </w:r>
            <w:r w:rsidR="00B73EBD" w:rsidRPr="007E0AE4">
              <w:t xml:space="preserve"> Prezentul proiect de act normativ este supus avizării Consiliului Legislativ</w:t>
            </w:r>
          </w:p>
          <w:p w14:paraId="5FE65553" w14:textId="382F12B3" w:rsidR="00770E01" w:rsidRPr="00635FA5" w:rsidRDefault="00770E01" w:rsidP="008838DB">
            <w:pPr>
              <w:spacing w:after="120"/>
              <w:jc w:val="both"/>
            </w:pPr>
            <w:r w:rsidRPr="00635FA5">
              <w:t>b)</w:t>
            </w:r>
            <w:r w:rsidR="00456611" w:rsidRPr="00635FA5">
              <w:t xml:space="preserve"> </w:t>
            </w:r>
            <w:r w:rsidRPr="00635FA5">
              <w:t>Consiliul Suprem de Apărare a Ţării</w:t>
            </w:r>
            <w:r w:rsidR="00B73EBD">
              <w:t xml:space="preserve"> </w:t>
            </w:r>
          </w:p>
          <w:p w14:paraId="22642D64" w14:textId="00ED3153" w:rsidR="00770E01" w:rsidRPr="00635FA5" w:rsidRDefault="00770E01" w:rsidP="008838DB">
            <w:pPr>
              <w:spacing w:after="120"/>
              <w:jc w:val="both"/>
            </w:pPr>
            <w:r w:rsidRPr="00635FA5">
              <w:t>c)</w:t>
            </w:r>
            <w:r w:rsidR="00456611" w:rsidRPr="00635FA5">
              <w:t xml:space="preserve"> </w:t>
            </w:r>
            <w:r w:rsidRPr="00635FA5">
              <w:t>Consiliul Economic şi Social</w:t>
            </w:r>
          </w:p>
          <w:p w14:paraId="782E1FCE" w14:textId="2689FDE4" w:rsidR="00770E01" w:rsidRPr="00635FA5" w:rsidRDefault="00770E01" w:rsidP="008838DB">
            <w:pPr>
              <w:spacing w:after="120"/>
              <w:jc w:val="both"/>
            </w:pPr>
            <w:r w:rsidRPr="00635FA5">
              <w:t>d)</w:t>
            </w:r>
            <w:r w:rsidR="00456611" w:rsidRPr="00635FA5">
              <w:t xml:space="preserve"> </w:t>
            </w:r>
            <w:r w:rsidRPr="00635FA5">
              <w:t xml:space="preserve">Consiliul Concurenţei </w:t>
            </w:r>
          </w:p>
          <w:p w14:paraId="2DDCFB07" w14:textId="77777777" w:rsidR="00615991" w:rsidRDefault="00770E01" w:rsidP="008838DB">
            <w:pPr>
              <w:spacing w:after="120"/>
              <w:jc w:val="both"/>
            </w:pPr>
            <w:r w:rsidRPr="00635FA5">
              <w:t>e)</w:t>
            </w:r>
            <w:r w:rsidR="00456611" w:rsidRPr="00635FA5">
              <w:t xml:space="preserve"> </w:t>
            </w:r>
            <w:r w:rsidRPr="00635FA5">
              <w:t>Curtea de Conturi</w:t>
            </w:r>
            <w:r w:rsidR="00393E05">
              <w:t>-</w:t>
            </w:r>
            <w:r w:rsidR="00A938FC">
              <w:t>Se solicită punctul de vedere al Curții de Conturi</w:t>
            </w:r>
          </w:p>
          <w:p w14:paraId="0D6F4F87" w14:textId="7AF970DB" w:rsidR="00770E01" w:rsidRDefault="00770E01" w:rsidP="00615991">
            <w:pPr>
              <w:spacing w:after="120"/>
              <w:jc w:val="both"/>
            </w:pPr>
            <w:r w:rsidRPr="00635FA5">
              <w:rPr>
                <w:b/>
                <w:bCs/>
              </w:rPr>
              <w:t>6.6. Alte informații</w:t>
            </w:r>
            <w:r w:rsidR="00B73EBD">
              <w:rPr>
                <w:b/>
                <w:bCs/>
              </w:rPr>
              <w:t xml:space="preserve"> - </w:t>
            </w:r>
          </w:p>
          <w:p w14:paraId="4E6B850F" w14:textId="6C076E10" w:rsidR="00615991" w:rsidRDefault="00615991" w:rsidP="00615991">
            <w:pPr>
              <w:spacing w:after="120"/>
              <w:jc w:val="both"/>
            </w:pPr>
            <w:r w:rsidRPr="005262E5">
              <w:t>S-a solicitat punctul de vedere al Autorit</w:t>
            </w:r>
            <w:r>
              <w:t>ății</w:t>
            </w:r>
            <w:r w:rsidRPr="005262E5">
              <w:t xml:space="preserve"> de Audit din cadrul Curții de Conturi a României,  </w:t>
            </w:r>
            <w:r>
              <w:t>Institutul Național de Statistică, Comisia Națională de Strategie și Prognoză</w:t>
            </w:r>
          </w:p>
          <w:p w14:paraId="32E03757" w14:textId="7416580A" w:rsidR="00A87BEC" w:rsidRPr="00635FA5" w:rsidRDefault="00A87BEC" w:rsidP="008838DB">
            <w:pPr>
              <w:spacing w:after="120"/>
              <w:jc w:val="both"/>
              <w:rPr>
                <w:b/>
                <w:bCs/>
              </w:rPr>
            </w:pPr>
          </w:p>
        </w:tc>
      </w:tr>
    </w:tbl>
    <w:p w14:paraId="6E0461F2" w14:textId="77777777" w:rsidR="00260E13" w:rsidRPr="00635FA5" w:rsidRDefault="00260E13" w:rsidP="008838DB">
      <w:pPr>
        <w:pStyle w:val="BodyTextIndent2"/>
        <w:spacing w:before="0" w:line="240" w:lineRule="auto"/>
        <w:ind w:right="98" w:firstLine="0"/>
        <w:jc w:val="both"/>
        <w:rPr>
          <w:bCs w:val="0"/>
          <w:sz w:val="24"/>
        </w:rPr>
      </w:pPr>
    </w:p>
    <w:p w14:paraId="311858C9" w14:textId="77777777" w:rsidR="00770E01" w:rsidRPr="00635FA5" w:rsidRDefault="00670C79" w:rsidP="008838DB">
      <w:pPr>
        <w:pStyle w:val="BodyTextIndent2"/>
        <w:spacing w:before="0" w:line="240" w:lineRule="auto"/>
        <w:ind w:left="180" w:right="98" w:firstLine="540"/>
        <w:jc w:val="both"/>
        <w:rPr>
          <w:bCs w:val="0"/>
          <w:sz w:val="24"/>
        </w:rPr>
      </w:pPr>
      <w:r w:rsidRPr="00635FA5">
        <w:rPr>
          <w:bCs w:val="0"/>
          <w:sz w:val="24"/>
        </w:rPr>
        <w:t xml:space="preserve">Secţiunea a 7-a  </w:t>
      </w:r>
    </w:p>
    <w:p w14:paraId="45DA67B7" w14:textId="070DA24F" w:rsidR="00260E13" w:rsidRPr="00635FA5" w:rsidRDefault="00670C79" w:rsidP="008838DB">
      <w:pPr>
        <w:pStyle w:val="BodyTextIndent2"/>
        <w:spacing w:before="0" w:line="240" w:lineRule="auto"/>
        <w:ind w:left="180" w:right="98" w:firstLine="540"/>
        <w:jc w:val="both"/>
        <w:rPr>
          <w:bCs w:val="0"/>
          <w:sz w:val="24"/>
        </w:rPr>
      </w:pPr>
      <w:r w:rsidRPr="00635FA5">
        <w:rPr>
          <w:bCs w:val="0"/>
          <w:sz w:val="24"/>
        </w:rPr>
        <w:t xml:space="preserve">Activităţi de informare publică privind elaborarea şi implementarea </w:t>
      </w:r>
      <w:bookmarkStart w:id="0" w:name="_Hlk100229941"/>
      <w:r w:rsidRPr="00635FA5">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35FA5" w14:paraId="416004E3" w14:textId="77777777" w:rsidTr="00D81420">
        <w:tc>
          <w:tcPr>
            <w:tcW w:w="10533" w:type="dxa"/>
          </w:tcPr>
          <w:p w14:paraId="29554504" w14:textId="3E86BEBC" w:rsidR="00770E01" w:rsidRPr="00635FA5" w:rsidRDefault="00770E01" w:rsidP="008838DB">
            <w:pPr>
              <w:spacing w:after="120"/>
              <w:jc w:val="both"/>
              <w:rPr>
                <w:b/>
                <w:bCs/>
              </w:rPr>
            </w:pPr>
            <w:r w:rsidRPr="00635FA5">
              <w:rPr>
                <w:b/>
                <w:bCs/>
              </w:rPr>
              <w:t xml:space="preserve">7.1. </w:t>
            </w:r>
            <w:r w:rsidR="0053566B" w:rsidRPr="00635FA5">
              <w:rPr>
                <w:b/>
                <w:bCs/>
              </w:rPr>
              <w:t>Informarea societăţii civile cu privire la elaborarea proiectului de act normativ</w:t>
            </w:r>
          </w:p>
          <w:p w14:paraId="5DD78964" w14:textId="3EC50F1F" w:rsidR="00B73EBD" w:rsidRDefault="004555DD" w:rsidP="008838DB">
            <w:pPr>
              <w:spacing w:after="120"/>
              <w:jc w:val="both"/>
            </w:pPr>
            <w:r w:rsidRPr="00635FA5">
              <w:rPr>
                <w:color w:val="FF0000"/>
              </w:rPr>
              <w:t xml:space="preserve">    </w:t>
            </w:r>
            <w:r w:rsidR="00B73EBD" w:rsidRPr="007E0AE4">
              <w:t xml:space="preserve">Prezentul proiect de act normativ respectă prevederile art. 7 alin. (13) din Legea nr. 52/2003 privind </w:t>
            </w:r>
            <w:r w:rsidR="00B73EBD" w:rsidRPr="007E0AE4">
              <w:lastRenderedPageBreak/>
              <w:t xml:space="preserve">transparența decizională în administrația publică, republicată, </w:t>
            </w:r>
            <w:r w:rsidR="00B73EBD">
              <w:t xml:space="preserve">cu modificările și completările ulterioare, </w:t>
            </w:r>
            <w:r w:rsidR="00B73EBD" w:rsidRPr="007E0AE4">
              <w:t>și a fost publicat pe pagina de internet a Ministerului Investițiilor și Proiectelor Europene la data de</w:t>
            </w:r>
            <w:r w:rsidR="00B73EBD">
              <w:t xml:space="preserve"> </w:t>
            </w:r>
            <w:r w:rsidR="00D87257">
              <w:t>02</w:t>
            </w:r>
            <w:r w:rsidR="00B73EBD">
              <w:t>.0</w:t>
            </w:r>
            <w:r w:rsidR="00D87257">
              <w:t>5</w:t>
            </w:r>
            <w:r w:rsidR="00B73EBD">
              <w:t>.2022</w:t>
            </w:r>
            <w:r w:rsidR="00D87257">
              <w:t>.</w:t>
            </w:r>
          </w:p>
          <w:p w14:paraId="3695E7F7" w14:textId="2A46A533" w:rsidR="0053566B" w:rsidRDefault="0053566B" w:rsidP="008838DB">
            <w:pPr>
              <w:spacing w:after="120"/>
              <w:jc w:val="both"/>
              <w:rPr>
                <w:b/>
                <w:bCs/>
              </w:rPr>
            </w:pPr>
            <w:r w:rsidRPr="00635FA5">
              <w:rPr>
                <w:b/>
                <w:bCs/>
              </w:rPr>
              <w:t>7.2. Informarea societăţii civile cu privire la e</w:t>
            </w:r>
            <w:r w:rsidR="008F6907" w:rsidRPr="00635FA5">
              <w:rPr>
                <w:b/>
                <w:bCs/>
              </w:rPr>
              <w:t>v</w:t>
            </w:r>
            <w:r w:rsidRPr="00635FA5">
              <w:rPr>
                <w:b/>
                <w:bCs/>
              </w:rPr>
              <w:t>entualul impact asupra mediului în urma implementării proiectului de act normativ, precum și efectele asupra sănătății și securității cetățenilor sau diversității biologice</w:t>
            </w:r>
          </w:p>
          <w:p w14:paraId="733C560A" w14:textId="1CE4A832" w:rsidR="00B73EBD" w:rsidRPr="00635FA5" w:rsidRDefault="00B73EBD" w:rsidP="008838DB">
            <w:pPr>
              <w:spacing w:after="120"/>
              <w:jc w:val="both"/>
              <w:rPr>
                <w:b/>
                <w:bCs/>
              </w:rPr>
            </w:pPr>
            <w:r w:rsidRPr="007E0AE4">
              <w:t>Proiectul de act normativ nu se referă la acest subiect.</w:t>
            </w:r>
          </w:p>
          <w:p w14:paraId="31FC7718" w14:textId="77777777" w:rsidR="008F6907" w:rsidRDefault="008F6907" w:rsidP="008838DB">
            <w:pPr>
              <w:spacing w:after="120"/>
              <w:jc w:val="both"/>
              <w:rPr>
                <w:b/>
                <w:bCs/>
              </w:rPr>
            </w:pPr>
            <w:r w:rsidRPr="00635FA5">
              <w:rPr>
                <w:b/>
                <w:bCs/>
              </w:rPr>
              <w:t>7.3. Alte informații</w:t>
            </w:r>
          </w:p>
          <w:p w14:paraId="6A2C5259" w14:textId="0D232D00" w:rsidR="00B73EBD" w:rsidRPr="00635FA5" w:rsidRDefault="00B73EBD" w:rsidP="008838DB">
            <w:pPr>
              <w:spacing w:after="120"/>
              <w:jc w:val="both"/>
              <w:rPr>
                <w:b/>
                <w:bCs/>
              </w:rPr>
            </w:pPr>
            <w:r w:rsidRPr="007E0AE4">
              <w:t>Nu au fost identificate</w:t>
            </w:r>
          </w:p>
        </w:tc>
      </w:tr>
    </w:tbl>
    <w:p w14:paraId="1DCAD9D0" w14:textId="77777777" w:rsidR="002E20A6" w:rsidRPr="00635FA5" w:rsidRDefault="002E20A6" w:rsidP="008838DB">
      <w:pPr>
        <w:spacing w:after="120"/>
        <w:rPr>
          <w:b/>
        </w:rPr>
      </w:pPr>
    </w:p>
    <w:p w14:paraId="341152AF" w14:textId="77777777" w:rsidR="0053566B" w:rsidRPr="00635FA5" w:rsidRDefault="00670C79" w:rsidP="008838DB">
      <w:pPr>
        <w:spacing w:after="120"/>
        <w:ind w:left="180" w:firstLine="540"/>
        <w:rPr>
          <w:b/>
        </w:rPr>
      </w:pPr>
      <w:r w:rsidRPr="00635FA5">
        <w:rPr>
          <w:b/>
        </w:rPr>
        <w:t>Secţiunea a 8- a</w:t>
      </w:r>
      <w:r w:rsidR="002E20A6" w:rsidRPr="00635FA5">
        <w:rPr>
          <w:b/>
        </w:rPr>
        <w:t xml:space="preserve"> </w:t>
      </w:r>
      <w:r w:rsidRPr="00635FA5">
        <w:rPr>
          <w:b/>
        </w:rPr>
        <w:t xml:space="preserve"> </w:t>
      </w:r>
    </w:p>
    <w:p w14:paraId="3FBCA191" w14:textId="2A77164A" w:rsidR="00670C79" w:rsidRPr="00635FA5" w:rsidRDefault="00670C79" w:rsidP="008838DB">
      <w:pPr>
        <w:spacing w:after="120"/>
        <w:ind w:left="180" w:firstLine="540"/>
        <w:rPr>
          <w:b/>
        </w:rPr>
      </w:pPr>
      <w:r w:rsidRPr="00635FA5">
        <w:rPr>
          <w:b/>
        </w:rPr>
        <w:t xml:space="preserve">Măsuri </w:t>
      </w:r>
      <w:r w:rsidR="0053566B" w:rsidRPr="00635FA5">
        <w:rPr>
          <w:b/>
        </w:rPr>
        <w:t>privind</w:t>
      </w:r>
      <w:r w:rsidRPr="00635FA5">
        <w:rPr>
          <w:b/>
        </w:rPr>
        <w:t xml:space="preserve"> implementare</w:t>
      </w:r>
      <w:r w:rsidR="0053566B" w:rsidRPr="00635FA5">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635FA5" w14:paraId="554BFAFC" w14:textId="77777777" w:rsidTr="00D81420">
        <w:tc>
          <w:tcPr>
            <w:tcW w:w="10553" w:type="dxa"/>
          </w:tcPr>
          <w:p w14:paraId="560280B7" w14:textId="452BF905" w:rsidR="0053566B" w:rsidRPr="00635FA5" w:rsidRDefault="0053566B" w:rsidP="008838DB">
            <w:pPr>
              <w:pStyle w:val="Heading1"/>
              <w:spacing w:after="120" w:line="240" w:lineRule="auto"/>
              <w:jc w:val="both"/>
              <w:rPr>
                <w:b/>
                <w:bCs/>
                <w:sz w:val="24"/>
              </w:rPr>
            </w:pPr>
            <w:r w:rsidRPr="00635FA5">
              <w:rPr>
                <w:b/>
                <w:bCs/>
                <w:sz w:val="24"/>
              </w:rPr>
              <w:t>8.1. Măsuri de punere în aplicare a proiectului de act normativ</w:t>
            </w:r>
          </w:p>
          <w:p w14:paraId="0EAADE0B" w14:textId="77777777" w:rsidR="00B73EBD" w:rsidRPr="00635FA5" w:rsidRDefault="00B73EBD" w:rsidP="00B73EBD">
            <w:pPr>
              <w:spacing w:after="120"/>
              <w:jc w:val="both"/>
              <w:rPr>
                <w:b/>
                <w:bCs/>
              </w:rPr>
            </w:pPr>
            <w:r w:rsidRPr="007E0AE4">
              <w:t>Proiectul de act normativ nu se referă la acest subiect.</w:t>
            </w:r>
          </w:p>
          <w:p w14:paraId="44723009" w14:textId="79637CEE" w:rsidR="0053566B" w:rsidRDefault="0053566B" w:rsidP="008838DB">
            <w:pPr>
              <w:rPr>
                <w:b/>
                <w:bCs/>
              </w:rPr>
            </w:pPr>
            <w:r w:rsidRPr="00635FA5">
              <w:rPr>
                <w:b/>
                <w:bCs/>
              </w:rPr>
              <w:t xml:space="preserve">8.2. Alte </w:t>
            </w:r>
            <w:r w:rsidR="00B73EBD" w:rsidRPr="00635FA5">
              <w:rPr>
                <w:b/>
                <w:bCs/>
              </w:rPr>
              <w:t>informații</w:t>
            </w:r>
          </w:p>
          <w:p w14:paraId="3837F202" w14:textId="758CC17C" w:rsidR="00B73EBD" w:rsidRPr="00635FA5" w:rsidRDefault="00B73EBD" w:rsidP="008838DB">
            <w:r w:rsidRPr="007E0AE4">
              <w:t>Nu au fost identificate</w:t>
            </w:r>
          </w:p>
        </w:tc>
      </w:tr>
    </w:tbl>
    <w:p w14:paraId="086E4DCE" w14:textId="77777777" w:rsidR="00646C74" w:rsidRPr="00635FA5" w:rsidRDefault="00646C74" w:rsidP="00AD0FCB">
      <w:pPr>
        <w:jc w:val="both"/>
      </w:pPr>
    </w:p>
    <w:p w14:paraId="2756B914" w14:textId="1C608B65" w:rsidR="00646C74" w:rsidRPr="00B73EBD" w:rsidRDefault="00A87BEC" w:rsidP="00B73EBD">
      <w:pPr>
        <w:ind w:firstLine="720"/>
        <w:jc w:val="both"/>
        <w:rPr>
          <w:color w:val="000000"/>
        </w:rPr>
      </w:pPr>
      <w:r w:rsidRPr="00A87BEC">
        <w:rPr>
          <w:color w:val="000000"/>
        </w:rPr>
        <w:t xml:space="preserve">Fată de cele prezentate, a fost promovată prezenta </w:t>
      </w:r>
      <w:r w:rsidR="00646C74" w:rsidRPr="00B73EBD">
        <w:rPr>
          <w:b/>
          <w:i/>
          <w:color w:val="000000"/>
        </w:rPr>
        <w:t xml:space="preserve">Ordonanță de urgență </w:t>
      </w:r>
      <w:r>
        <w:rPr>
          <w:b/>
          <w:i/>
          <w:color w:val="000000"/>
        </w:rPr>
        <w:t xml:space="preserve">a Guvernului </w:t>
      </w:r>
      <w:r w:rsidR="00F42A68" w:rsidRPr="00B73EBD">
        <w:rPr>
          <w:b/>
          <w:i/>
          <w:lang w:eastAsia="ro-RO"/>
        </w:rPr>
        <w:t>privind ajustarea prețurilor și a valorii devizelor generale în cadrul proiectelor finanțate din fonduri externe nerambursabile</w:t>
      </w:r>
      <w:r w:rsidR="00646C74" w:rsidRPr="00B73EBD">
        <w:rPr>
          <w:color w:val="000000"/>
        </w:rPr>
        <w:t>, proiect care, în forma prezentată, a fost avizat de ministerele și instituțiile interesate și de Consiliul Legislativ și pe care îl supunem spre a</w:t>
      </w:r>
      <w:r>
        <w:rPr>
          <w:color w:val="000000"/>
        </w:rPr>
        <w:t>doptare</w:t>
      </w:r>
      <w:r w:rsidR="00646C74" w:rsidRPr="00B73EBD">
        <w:rPr>
          <w:color w:val="000000"/>
        </w:rPr>
        <w:t>.</w:t>
      </w:r>
    </w:p>
    <w:p w14:paraId="0F698413" w14:textId="77777777" w:rsidR="00646C74" w:rsidRPr="00635FA5" w:rsidRDefault="00646C74" w:rsidP="00646C74">
      <w:pPr>
        <w:jc w:val="both"/>
        <w:rPr>
          <w:b/>
          <w:color w:val="000000"/>
        </w:rPr>
      </w:pPr>
    </w:p>
    <w:p w14:paraId="4506FD52" w14:textId="77777777" w:rsidR="00646C74" w:rsidRPr="00635FA5" w:rsidRDefault="00646C74" w:rsidP="00646C74">
      <w:pPr>
        <w:spacing w:line="276" w:lineRule="auto"/>
        <w:jc w:val="both"/>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3C63BE" w:rsidRPr="005262E5" w14:paraId="3BD1A4A7" w14:textId="77777777" w:rsidTr="00515FCA">
        <w:tc>
          <w:tcPr>
            <w:tcW w:w="4927" w:type="dxa"/>
          </w:tcPr>
          <w:p w14:paraId="12516A0A" w14:textId="77777777" w:rsidR="003C63BE" w:rsidRPr="003C63BE" w:rsidRDefault="003C63BE" w:rsidP="00515FCA">
            <w:pPr>
              <w:jc w:val="center"/>
              <w:rPr>
                <w:b/>
              </w:rPr>
            </w:pPr>
            <w:r w:rsidRPr="003C63BE">
              <w:rPr>
                <w:b/>
              </w:rPr>
              <w:t xml:space="preserve">MINISTRUL INVESTIȚIILOR ȘI PROIECTELOR EUROPENE, INTERIMAR </w:t>
            </w:r>
          </w:p>
          <w:p w14:paraId="585DAAEB" w14:textId="77777777" w:rsidR="003C63BE" w:rsidRPr="003C63BE" w:rsidRDefault="003C63BE" w:rsidP="00515FCA">
            <w:pPr>
              <w:jc w:val="center"/>
              <w:rPr>
                <w:b/>
              </w:rPr>
            </w:pPr>
          </w:p>
          <w:p w14:paraId="4E7786BC" w14:textId="77777777" w:rsidR="003C63BE" w:rsidRPr="003C63BE" w:rsidRDefault="003C63BE" w:rsidP="003C63BE">
            <w:pPr>
              <w:jc w:val="center"/>
              <w:rPr>
                <w:b/>
                <w:bCs/>
                <w:i/>
              </w:rPr>
            </w:pPr>
            <w:r w:rsidRPr="003C63BE">
              <w:rPr>
                <w:b/>
                <w:bCs/>
                <w:i/>
              </w:rPr>
              <w:t>Marcel - Ioan BOLOȘ</w:t>
            </w:r>
          </w:p>
          <w:p w14:paraId="1C72D66F" w14:textId="77777777" w:rsidR="003C63BE" w:rsidRPr="000E4B24" w:rsidRDefault="003C63BE" w:rsidP="00515FCA">
            <w:pPr>
              <w:jc w:val="center"/>
            </w:pPr>
          </w:p>
        </w:tc>
        <w:tc>
          <w:tcPr>
            <w:tcW w:w="4928" w:type="dxa"/>
          </w:tcPr>
          <w:p w14:paraId="2808F132" w14:textId="77777777" w:rsidR="003C63BE" w:rsidRPr="00635FA5" w:rsidRDefault="003C63BE" w:rsidP="003C63BE">
            <w:pPr>
              <w:autoSpaceDE w:val="0"/>
              <w:autoSpaceDN w:val="0"/>
              <w:adjustRightInd w:val="0"/>
              <w:jc w:val="center"/>
              <w:rPr>
                <w:b/>
                <w:bCs/>
                <w:color w:val="000000"/>
                <w:lang w:eastAsia="ro-RO"/>
              </w:rPr>
            </w:pPr>
            <w:r w:rsidRPr="00635FA5">
              <w:rPr>
                <w:b/>
                <w:bCs/>
                <w:color w:val="000000"/>
                <w:lang w:eastAsia="ro-RO"/>
              </w:rPr>
              <w:t>MINISTRUL DEZVOLTĂRII,</w:t>
            </w:r>
          </w:p>
          <w:p w14:paraId="7A19D99C" w14:textId="77777777" w:rsidR="003C63BE" w:rsidRDefault="003C63BE" w:rsidP="003C63BE">
            <w:pPr>
              <w:autoSpaceDE w:val="0"/>
              <w:autoSpaceDN w:val="0"/>
              <w:adjustRightInd w:val="0"/>
              <w:jc w:val="center"/>
              <w:rPr>
                <w:b/>
                <w:bCs/>
                <w:color w:val="000000"/>
                <w:lang w:eastAsia="ro-RO"/>
              </w:rPr>
            </w:pPr>
            <w:r w:rsidRPr="00635FA5">
              <w:rPr>
                <w:b/>
                <w:bCs/>
                <w:color w:val="000000"/>
                <w:lang w:eastAsia="ro-RO"/>
              </w:rPr>
              <w:t>LUCRĂRILOR PUBLICE ȘI ADMINISTRAŢIEI</w:t>
            </w:r>
          </w:p>
          <w:p w14:paraId="4CBE3CB1" w14:textId="77777777" w:rsidR="003C63BE" w:rsidRPr="0023012D" w:rsidRDefault="003C63BE" w:rsidP="003C63BE">
            <w:pPr>
              <w:autoSpaceDE w:val="0"/>
              <w:autoSpaceDN w:val="0"/>
              <w:adjustRightInd w:val="0"/>
              <w:jc w:val="center"/>
              <w:rPr>
                <w:b/>
                <w:bCs/>
                <w:color w:val="000000"/>
                <w:lang w:eastAsia="ro-RO"/>
              </w:rPr>
            </w:pPr>
          </w:p>
          <w:p w14:paraId="5A78C0A6" w14:textId="63C4336F" w:rsidR="003C63BE" w:rsidRPr="003C63BE" w:rsidRDefault="003C63BE" w:rsidP="003C63BE">
            <w:pPr>
              <w:jc w:val="center"/>
              <w:rPr>
                <w:b/>
              </w:rPr>
            </w:pPr>
            <w:r>
              <w:rPr>
                <w:b/>
                <w:bCs/>
                <w:i/>
                <w:iCs/>
                <w:color w:val="000000"/>
                <w:lang w:eastAsia="ro-RO"/>
              </w:rPr>
              <w:t>Attila</w:t>
            </w:r>
            <w:r w:rsidRPr="005262E5">
              <w:rPr>
                <w:bCs/>
              </w:rPr>
              <w:t xml:space="preserve"> </w:t>
            </w:r>
            <w:r w:rsidRPr="003C63BE">
              <w:rPr>
                <w:b/>
                <w:bCs/>
                <w:iCs/>
                <w:color w:val="000000"/>
                <w:lang w:eastAsia="ro-RO"/>
              </w:rPr>
              <w:t>CSEKE</w:t>
            </w:r>
          </w:p>
          <w:p w14:paraId="3CBE82D9" w14:textId="4B35B896" w:rsidR="003C63BE" w:rsidRPr="000E4B24" w:rsidRDefault="003C63BE" w:rsidP="003C63BE">
            <w:pPr>
              <w:jc w:val="center"/>
              <w:rPr>
                <w:b/>
              </w:rPr>
            </w:pPr>
          </w:p>
          <w:p w14:paraId="1B090993" w14:textId="77777777" w:rsidR="003C63BE" w:rsidRPr="000E4B24" w:rsidRDefault="003C63BE" w:rsidP="00515FCA">
            <w:pPr>
              <w:jc w:val="center"/>
            </w:pPr>
          </w:p>
          <w:p w14:paraId="44C10460" w14:textId="77777777" w:rsidR="003C63BE" w:rsidRPr="000E4B24" w:rsidRDefault="003C63BE" w:rsidP="00515FCA">
            <w:pPr>
              <w:jc w:val="center"/>
            </w:pPr>
          </w:p>
        </w:tc>
      </w:tr>
      <w:tr w:rsidR="003C63BE" w:rsidRPr="005262E5" w14:paraId="43D7C2B1" w14:textId="77777777" w:rsidTr="007F643F">
        <w:tc>
          <w:tcPr>
            <w:tcW w:w="9855" w:type="dxa"/>
            <w:gridSpan w:val="2"/>
          </w:tcPr>
          <w:p w14:paraId="01A57E5E" w14:textId="77777777" w:rsidR="003C63BE" w:rsidRPr="003C63BE" w:rsidRDefault="003C63BE" w:rsidP="003C63BE">
            <w:pPr>
              <w:jc w:val="center"/>
              <w:rPr>
                <w:b/>
                <w:bCs/>
              </w:rPr>
            </w:pPr>
            <w:r w:rsidRPr="003C63BE">
              <w:rPr>
                <w:b/>
                <w:bCs/>
              </w:rPr>
              <w:t xml:space="preserve">MINISTRUL AGRICULTURII SI DEZVOLTĂRII RURALE </w:t>
            </w:r>
          </w:p>
          <w:p w14:paraId="44ED7E04" w14:textId="77777777" w:rsidR="003C63BE" w:rsidRDefault="003C63BE" w:rsidP="003C63BE">
            <w:pPr>
              <w:jc w:val="center"/>
              <w:rPr>
                <w:b/>
              </w:rPr>
            </w:pPr>
          </w:p>
          <w:p w14:paraId="7B2B3687" w14:textId="66083D30" w:rsidR="003C63BE" w:rsidRPr="000E4B24" w:rsidRDefault="003C63BE" w:rsidP="003C63BE">
            <w:pPr>
              <w:jc w:val="center"/>
            </w:pPr>
            <w:r w:rsidRPr="000E4B24">
              <w:rPr>
                <w:b/>
              </w:rPr>
              <w:t>Adrian – Ionuț CHESNOIU</w:t>
            </w:r>
          </w:p>
        </w:tc>
      </w:tr>
      <w:tr w:rsidR="003C63BE" w:rsidRPr="005262E5" w14:paraId="01FCC4C3" w14:textId="77777777" w:rsidTr="00515FCA">
        <w:tc>
          <w:tcPr>
            <w:tcW w:w="9855" w:type="dxa"/>
            <w:gridSpan w:val="2"/>
          </w:tcPr>
          <w:p w14:paraId="50E3B5BF" w14:textId="2021DBB5" w:rsidR="003C63BE" w:rsidRDefault="003C63BE" w:rsidP="003C63BE">
            <w:pPr>
              <w:jc w:val="center"/>
              <w:rPr>
                <w:b/>
                <w:bCs/>
              </w:rPr>
            </w:pPr>
            <w:r>
              <w:rPr>
                <w:b/>
                <w:bCs/>
              </w:rPr>
              <w:t>Avizatori :</w:t>
            </w:r>
          </w:p>
          <w:p w14:paraId="77F80C4C" w14:textId="77777777" w:rsidR="003C63BE" w:rsidRPr="000E4B24" w:rsidRDefault="003C63BE" w:rsidP="003C63BE">
            <w:pPr>
              <w:rPr>
                <w:b/>
                <w:bCs/>
              </w:rPr>
            </w:pPr>
          </w:p>
        </w:tc>
      </w:tr>
      <w:tr w:rsidR="003C63BE" w:rsidRPr="005262E5" w14:paraId="70055C44" w14:textId="77777777" w:rsidTr="00515FCA">
        <w:tc>
          <w:tcPr>
            <w:tcW w:w="4927" w:type="dxa"/>
          </w:tcPr>
          <w:p w14:paraId="594A9D41" w14:textId="77777777" w:rsidR="003C63BE" w:rsidRPr="00635FA5" w:rsidRDefault="003C63BE" w:rsidP="003C63BE">
            <w:pPr>
              <w:autoSpaceDE w:val="0"/>
              <w:autoSpaceDN w:val="0"/>
              <w:adjustRightInd w:val="0"/>
              <w:jc w:val="center"/>
              <w:rPr>
                <w:b/>
                <w:bCs/>
                <w:color w:val="000000"/>
                <w:lang w:eastAsia="ro-RO"/>
              </w:rPr>
            </w:pPr>
            <w:r w:rsidRPr="00635FA5">
              <w:rPr>
                <w:b/>
                <w:bCs/>
                <w:color w:val="000000"/>
                <w:lang w:eastAsia="ro-RO"/>
              </w:rPr>
              <w:t xml:space="preserve">VICEPRIM-MINISTRU, </w:t>
            </w:r>
          </w:p>
          <w:p w14:paraId="1E7FA2C7" w14:textId="77777777" w:rsidR="003C63BE" w:rsidRDefault="003C63BE" w:rsidP="003C63BE">
            <w:pPr>
              <w:autoSpaceDE w:val="0"/>
              <w:autoSpaceDN w:val="0"/>
              <w:adjustRightInd w:val="0"/>
              <w:spacing w:line="276" w:lineRule="auto"/>
              <w:jc w:val="center"/>
              <w:rPr>
                <w:b/>
                <w:bCs/>
                <w:color w:val="000000"/>
                <w:lang w:eastAsia="ro-RO"/>
              </w:rPr>
            </w:pPr>
            <w:r w:rsidRPr="00635FA5">
              <w:rPr>
                <w:b/>
                <w:bCs/>
                <w:color w:val="000000"/>
                <w:lang w:eastAsia="ro-RO"/>
              </w:rPr>
              <w:t>MINISTRUL TRASPORTURILOR ȘI INFRASTRUCTURII</w:t>
            </w:r>
          </w:p>
          <w:p w14:paraId="1344611D" w14:textId="77777777" w:rsidR="003C63BE" w:rsidRPr="00635FA5" w:rsidRDefault="003C63BE" w:rsidP="003C63BE">
            <w:pPr>
              <w:spacing w:line="276" w:lineRule="auto"/>
              <w:jc w:val="center"/>
              <w:rPr>
                <w:b/>
                <w:i/>
                <w:color w:val="000000"/>
                <w:lang w:eastAsia="ro-RO"/>
              </w:rPr>
            </w:pPr>
            <w:r w:rsidRPr="00635FA5">
              <w:rPr>
                <w:b/>
                <w:bCs/>
                <w:i/>
                <w:color w:val="000000"/>
                <w:lang w:eastAsia="ro-RO"/>
              </w:rPr>
              <w:t>SORIN MIHAI GRINDEANU</w:t>
            </w:r>
          </w:p>
          <w:p w14:paraId="193DE3D9" w14:textId="09CCEF8F" w:rsidR="003C63BE" w:rsidRPr="000E4B24" w:rsidRDefault="003C63BE" w:rsidP="00515FCA">
            <w:pPr>
              <w:jc w:val="center"/>
              <w:rPr>
                <w:b/>
              </w:rPr>
            </w:pPr>
          </w:p>
        </w:tc>
        <w:tc>
          <w:tcPr>
            <w:tcW w:w="4928" w:type="dxa"/>
          </w:tcPr>
          <w:p w14:paraId="0E0FB296" w14:textId="77777777" w:rsidR="003C63BE" w:rsidRPr="00635FA5" w:rsidRDefault="003C63BE" w:rsidP="003C63BE">
            <w:pPr>
              <w:spacing w:line="360" w:lineRule="auto"/>
              <w:jc w:val="center"/>
              <w:rPr>
                <w:b/>
                <w:color w:val="000000"/>
                <w:lang w:eastAsia="ro-RO"/>
              </w:rPr>
            </w:pPr>
            <w:r w:rsidRPr="00635FA5">
              <w:rPr>
                <w:b/>
                <w:color w:val="000000"/>
                <w:lang w:eastAsia="ro-RO"/>
              </w:rPr>
              <w:t>VICEPRIM – MINISTRU</w:t>
            </w:r>
          </w:p>
          <w:p w14:paraId="0B42DAF8" w14:textId="77777777" w:rsidR="003C63BE" w:rsidRDefault="003C63BE" w:rsidP="003C63BE">
            <w:pPr>
              <w:spacing w:line="360" w:lineRule="auto"/>
              <w:jc w:val="center"/>
              <w:rPr>
                <w:b/>
                <w:i/>
                <w:color w:val="000000"/>
                <w:lang w:eastAsia="ro-RO"/>
              </w:rPr>
            </w:pPr>
          </w:p>
          <w:p w14:paraId="0F0FE65E" w14:textId="6A308D3F" w:rsidR="003C63BE" w:rsidRPr="000E4B24" w:rsidRDefault="003C63BE" w:rsidP="00515FCA">
            <w:pPr>
              <w:jc w:val="center"/>
              <w:rPr>
                <w:b/>
                <w:bCs/>
              </w:rPr>
            </w:pPr>
            <w:r>
              <w:rPr>
                <w:b/>
                <w:i/>
                <w:color w:val="000000"/>
                <w:lang w:eastAsia="ro-RO"/>
              </w:rPr>
              <w:t>KELEMEN HUNOR</w:t>
            </w:r>
          </w:p>
        </w:tc>
      </w:tr>
      <w:tr w:rsidR="003C63BE" w:rsidRPr="005262E5" w14:paraId="22209A55" w14:textId="77777777" w:rsidTr="00515FCA">
        <w:tc>
          <w:tcPr>
            <w:tcW w:w="4927" w:type="dxa"/>
          </w:tcPr>
          <w:p w14:paraId="160EF687" w14:textId="77777777" w:rsidR="003C63BE" w:rsidRDefault="003C63BE" w:rsidP="003C63BE">
            <w:pPr>
              <w:jc w:val="center"/>
              <w:rPr>
                <w:b/>
              </w:rPr>
            </w:pPr>
            <w:r>
              <w:rPr>
                <w:b/>
              </w:rPr>
              <w:t xml:space="preserve">MINISTRUL FINANȚELOR </w:t>
            </w:r>
          </w:p>
          <w:p w14:paraId="1AAE6243" w14:textId="571447A6" w:rsidR="003C63BE" w:rsidRDefault="003C63BE" w:rsidP="003C63BE">
            <w:pPr>
              <w:jc w:val="center"/>
              <w:rPr>
                <w:b/>
              </w:rPr>
            </w:pPr>
            <w:r>
              <w:rPr>
                <w:b/>
              </w:rPr>
              <w:t>Adrian CÂCIU</w:t>
            </w:r>
          </w:p>
        </w:tc>
        <w:tc>
          <w:tcPr>
            <w:tcW w:w="4928" w:type="dxa"/>
          </w:tcPr>
          <w:p w14:paraId="6D282A5B" w14:textId="77777777" w:rsidR="003C63BE" w:rsidRDefault="003C63BE" w:rsidP="003C63BE">
            <w:pPr>
              <w:jc w:val="center"/>
              <w:rPr>
                <w:b/>
                <w:bCs/>
              </w:rPr>
            </w:pPr>
            <w:r w:rsidRPr="009565C3">
              <w:rPr>
                <w:b/>
                <w:bCs/>
              </w:rPr>
              <w:t>MINISTRUL JUSTIȚIEI</w:t>
            </w:r>
          </w:p>
          <w:p w14:paraId="2EFC5A4A" w14:textId="38EDCEEF" w:rsidR="003C63BE" w:rsidRPr="009565C3" w:rsidRDefault="003C63BE" w:rsidP="003C63BE">
            <w:pPr>
              <w:jc w:val="center"/>
              <w:rPr>
                <w:b/>
                <w:bCs/>
              </w:rPr>
            </w:pPr>
            <w:r w:rsidRPr="009565C3">
              <w:rPr>
                <w:b/>
                <w:bCs/>
              </w:rPr>
              <w:t>Marian-Cătălin PREDOIU</w:t>
            </w:r>
          </w:p>
        </w:tc>
      </w:tr>
    </w:tbl>
    <w:p w14:paraId="619BE91B" w14:textId="6B564ACA" w:rsidR="00B73EBD" w:rsidRPr="008F57FC" w:rsidRDefault="00B73EBD" w:rsidP="00E27BBE">
      <w:pPr>
        <w:ind w:right="-794"/>
        <w:jc w:val="center"/>
        <w:rPr>
          <w:b/>
          <w:bCs/>
          <w:iCs/>
          <w:color w:val="000000"/>
        </w:rPr>
      </w:pPr>
    </w:p>
    <w:sectPr w:rsidR="00B73EBD" w:rsidRPr="008F57FC" w:rsidSect="008E1534">
      <w:footerReference w:type="even" r:id="rId14"/>
      <w:footerReference w:type="default" r:id="rId15"/>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FD5F8" w14:textId="77777777" w:rsidR="004F3247" w:rsidRDefault="004F3247">
      <w:r>
        <w:separator/>
      </w:r>
    </w:p>
  </w:endnote>
  <w:endnote w:type="continuationSeparator" w:id="0">
    <w:p w14:paraId="2BDE71C9" w14:textId="77777777" w:rsidR="004F3247" w:rsidRDefault="004F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615991" w:rsidRDefault="00615991" w:rsidP="00D814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615991" w:rsidRDefault="00615991" w:rsidP="00D814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584987"/>
      <w:docPartObj>
        <w:docPartGallery w:val="Page Numbers (Bottom of Page)"/>
        <w:docPartUnique/>
      </w:docPartObj>
    </w:sdtPr>
    <w:sdtEndPr/>
    <w:sdtContent>
      <w:p w14:paraId="58DE35E6" w14:textId="0968C106" w:rsidR="00615991" w:rsidRDefault="00615991">
        <w:pPr>
          <w:pStyle w:val="Footer"/>
          <w:jc w:val="center"/>
        </w:pPr>
        <w:r>
          <w:fldChar w:fldCharType="begin"/>
        </w:r>
        <w:r>
          <w:instrText>PAGE   \* MERGEFORMAT</w:instrText>
        </w:r>
        <w:r>
          <w:fldChar w:fldCharType="separate"/>
        </w:r>
        <w:r w:rsidR="00E84B9D">
          <w:rPr>
            <w:noProof/>
          </w:rPr>
          <w:t>8</w:t>
        </w:r>
        <w:r>
          <w:fldChar w:fldCharType="end"/>
        </w:r>
      </w:p>
    </w:sdtContent>
  </w:sdt>
  <w:p w14:paraId="0C442F9A" w14:textId="77777777" w:rsidR="00615991" w:rsidRDefault="00615991" w:rsidP="00D814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AC36" w14:textId="77777777" w:rsidR="004F3247" w:rsidRDefault="004F3247">
      <w:r>
        <w:separator/>
      </w:r>
    </w:p>
  </w:footnote>
  <w:footnote w:type="continuationSeparator" w:id="0">
    <w:p w14:paraId="4DD0BA7A" w14:textId="77777777" w:rsidR="004F3247" w:rsidRDefault="004F32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9D61DE"/>
    <w:multiLevelType w:val="hybridMultilevel"/>
    <w:tmpl w:val="86DAF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A345EF"/>
    <w:multiLevelType w:val="hybridMultilevel"/>
    <w:tmpl w:val="B9EC4A38"/>
    <w:lvl w:ilvl="0" w:tplc="4014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AFA17FB"/>
    <w:multiLevelType w:val="multilevel"/>
    <w:tmpl w:val="5C64F5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C4262B"/>
    <w:multiLevelType w:val="hybridMultilevel"/>
    <w:tmpl w:val="F7529E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C40A835"/>
    <w:multiLevelType w:val="multilevel"/>
    <w:tmpl w:val="602C4ED6"/>
    <w:lvl w:ilvl="0">
      <w:start w:val="1"/>
      <w:numFmt w:val="decimal"/>
      <w:lvlText w:val=""/>
      <w:lvlJc w:val="left"/>
      <w:pPr>
        <w:tabs>
          <w:tab w:val="num" w:pos="0"/>
        </w:tabs>
      </w:pPr>
      <w:rPr>
        <w:rFonts w:ascii="Symbol" w:hAnsi="Symbol" w:cs="Symbol"/>
        <w:sz w:val="28"/>
        <w:szCs w:val="28"/>
      </w:rPr>
    </w:lvl>
    <w:lvl w:ilvl="1">
      <w:start w:val="1"/>
      <w:numFmt w:val="decimal"/>
      <w:lvlText w:val=""/>
      <w:lvlJc w:val="left"/>
      <w:pPr>
        <w:tabs>
          <w:tab w:val="num" w:pos="0"/>
        </w:tabs>
        <w:ind w:left="570" w:hanging="570"/>
      </w:pPr>
      <w:rPr>
        <w:rFonts w:ascii="Courier New" w:hAnsi="Courier New" w:cs="Courier New"/>
        <w:sz w:val="24"/>
        <w:szCs w:val="24"/>
      </w:rPr>
    </w:lvl>
    <w:lvl w:ilvl="2">
      <w:start w:val="1"/>
      <w:numFmt w:val="decimal"/>
      <w:lvlText w:val=""/>
      <w:lvlJc w:val="left"/>
      <w:pPr>
        <w:tabs>
          <w:tab w:val="num" w:pos="0"/>
        </w:tabs>
        <w:ind w:left="720" w:hanging="720"/>
      </w:pPr>
      <w:rPr>
        <w:rFonts w:ascii="Wingdings" w:hAnsi="Wingdings" w:cs="Wingdings"/>
        <w:sz w:val="24"/>
        <w:szCs w:val="24"/>
      </w:rPr>
    </w:lvl>
    <w:lvl w:ilvl="3">
      <w:start w:val="1"/>
      <w:numFmt w:val="decimal"/>
      <w:lvlText w:val=""/>
      <w:lvlJc w:val="left"/>
      <w:pPr>
        <w:tabs>
          <w:tab w:val="num" w:pos="0"/>
        </w:tabs>
        <w:ind w:left="870" w:hanging="870"/>
      </w:pPr>
      <w:rPr>
        <w:rFonts w:ascii="Times New Roman" w:hAnsi="Times New Roman" w:cs="Times New Roman"/>
        <w:sz w:val="24"/>
        <w:szCs w:val="24"/>
      </w:rPr>
    </w:lvl>
    <w:lvl w:ilvl="4">
      <w:start w:val="1"/>
      <w:numFmt w:val="decimal"/>
      <w:lvlText w:val=""/>
      <w:lvlJc w:val="left"/>
      <w:pPr>
        <w:tabs>
          <w:tab w:val="num" w:pos="0"/>
        </w:tabs>
        <w:ind w:left="1005" w:hanging="1005"/>
      </w:pPr>
      <w:rPr>
        <w:rFonts w:ascii="Times New Roman" w:hAnsi="Times New Roman" w:cs="Times New Roman"/>
        <w:sz w:val="24"/>
        <w:szCs w:val="24"/>
      </w:rPr>
    </w:lvl>
    <w:lvl w:ilvl="5">
      <w:start w:val="1"/>
      <w:numFmt w:val="decimal"/>
      <w:lvlText w:val=""/>
      <w:lvlJc w:val="left"/>
      <w:pPr>
        <w:tabs>
          <w:tab w:val="num" w:pos="0"/>
        </w:tabs>
      </w:pPr>
      <w:rPr>
        <w:rFonts w:ascii="Times New Roman" w:hAnsi="Times New Roman" w:cs="Times New Roman"/>
        <w:b/>
        <w:bCs/>
        <w:sz w:val="28"/>
        <w:szCs w:val="28"/>
      </w:rPr>
    </w:lvl>
    <w:lvl w:ilvl="6">
      <w:start w:val="1"/>
      <w:numFmt w:val="decimal"/>
      <w:lvlText w:val=""/>
      <w:lvlJc w:val="left"/>
      <w:pPr>
        <w:tabs>
          <w:tab w:val="num" w:pos="0"/>
        </w:tabs>
        <w:ind w:left="1290" w:hanging="1290"/>
      </w:pPr>
      <w:rPr>
        <w:rFonts w:ascii="Times New Roman" w:hAnsi="Times New Roman" w:cs="Times New Roman"/>
        <w:sz w:val="24"/>
        <w:szCs w:val="24"/>
      </w:rPr>
    </w:lvl>
    <w:lvl w:ilvl="7">
      <w:start w:val="1"/>
      <w:numFmt w:val="decimal"/>
      <w:lvlText w:val=""/>
      <w:lvlJc w:val="left"/>
      <w:pPr>
        <w:tabs>
          <w:tab w:val="num" w:pos="0"/>
        </w:tabs>
        <w:ind w:left="1440" w:hanging="1440"/>
      </w:pPr>
      <w:rPr>
        <w:rFonts w:ascii="Times New Roman" w:hAnsi="Times New Roman" w:cs="Times New Roman"/>
        <w:sz w:val="24"/>
        <w:szCs w:val="24"/>
      </w:rPr>
    </w:lvl>
    <w:lvl w:ilvl="8">
      <w:start w:val="1"/>
      <w:numFmt w:val="decimal"/>
      <w:lvlText w:val=""/>
      <w:lvlJc w:val="left"/>
      <w:pPr>
        <w:tabs>
          <w:tab w:val="num" w:pos="0"/>
        </w:tabs>
      </w:pPr>
      <w:rPr>
        <w:rFonts w:ascii="Times New Roman" w:hAnsi="Times New Roman" w:cs="Times New Roman"/>
        <w:b/>
        <w:bCs/>
        <w:sz w:val="28"/>
        <w:szCs w:val="28"/>
      </w:rPr>
    </w:lvl>
  </w:abstractNum>
  <w:abstractNum w:abstractNumId="1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BC03C2"/>
    <w:multiLevelType w:val="hybridMultilevel"/>
    <w:tmpl w:val="CA3A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8" w15:restartNumberingAfterBreak="0">
    <w:nsid w:val="7EB0002B"/>
    <w:multiLevelType w:val="multilevel"/>
    <w:tmpl w:val="7F56764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45278420">
    <w:abstractNumId w:val="0"/>
  </w:num>
  <w:num w:numId="2" w16cid:durableId="1186871511">
    <w:abstractNumId w:val="17"/>
  </w:num>
  <w:num w:numId="3" w16cid:durableId="333148054">
    <w:abstractNumId w:val="13"/>
  </w:num>
  <w:num w:numId="4" w16cid:durableId="1563902295">
    <w:abstractNumId w:val="3"/>
  </w:num>
  <w:num w:numId="5" w16cid:durableId="930117494">
    <w:abstractNumId w:val="7"/>
  </w:num>
  <w:num w:numId="6" w16cid:durableId="1176581632">
    <w:abstractNumId w:val="15"/>
  </w:num>
  <w:num w:numId="7" w16cid:durableId="714083405">
    <w:abstractNumId w:val="6"/>
  </w:num>
  <w:num w:numId="8" w16cid:durableId="10782115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3902362">
    <w:abstractNumId w:val="14"/>
  </w:num>
  <w:num w:numId="10" w16cid:durableId="1543056952">
    <w:abstractNumId w:val="10"/>
  </w:num>
  <w:num w:numId="11" w16cid:durableId="636494649">
    <w:abstractNumId w:val="8"/>
  </w:num>
  <w:num w:numId="12" w16cid:durableId="542135105">
    <w:abstractNumId w:val="5"/>
  </w:num>
  <w:num w:numId="13" w16cid:durableId="1824731743">
    <w:abstractNumId w:val="4"/>
  </w:num>
  <w:num w:numId="14" w16cid:durableId="302346131">
    <w:abstractNumId w:val="11"/>
  </w:num>
  <w:num w:numId="15" w16cid:durableId="514534824">
    <w:abstractNumId w:val="18"/>
  </w:num>
  <w:num w:numId="16" w16cid:durableId="2027949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1381484">
    <w:abstractNumId w:val="9"/>
  </w:num>
  <w:num w:numId="18" w16cid:durableId="445344446">
    <w:abstractNumId w:val="2"/>
  </w:num>
  <w:num w:numId="19" w16cid:durableId="1079986121">
    <w:abstractNumId w:val="16"/>
  </w:num>
  <w:num w:numId="20" w16cid:durableId="221795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66721"/>
    <w:rsid w:val="00070830"/>
    <w:rsid w:val="00071642"/>
    <w:rsid w:val="00073195"/>
    <w:rsid w:val="000733D3"/>
    <w:rsid w:val="0007609F"/>
    <w:rsid w:val="00076C55"/>
    <w:rsid w:val="000808EE"/>
    <w:rsid w:val="00080916"/>
    <w:rsid w:val="00081475"/>
    <w:rsid w:val="00083DB6"/>
    <w:rsid w:val="00083EAF"/>
    <w:rsid w:val="00084EE5"/>
    <w:rsid w:val="00084F56"/>
    <w:rsid w:val="00085904"/>
    <w:rsid w:val="00086114"/>
    <w:rsid w:val="00087383"/>
    <w:rsid w:val="00087C3B"/>
    <w:rsid w:val="00087C48"/>
    <w:rsid w:val="00090676"/>
    <w:rsid w:val="0009222E"/>
    <w:rsid w:val="00092376"/>
    <w:rsid w:val="0009320D"/>
    <w:rsid w:val="00093445"/>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A5C"/>
    <w:rsid w:val="000C7D63"/>
    <w:rsid w:val="000C7EAF"/>
    <w:rsid w:val="000C7EEC"/>
    <w:rsid w:val="000D0889"/>
    <w:rsid w:val="000D23B9"/>
    <w:rsid w:val="000D2B20"/>
    <w:rsid w:val="000D315E"/>
    <w:rsid w:val="000D403B"/>
    <w:rsid w:val="000D4132"/>
    <w:rsid w:val="000D4C09"/>
    <w:rsid w:val="000D6861"/>
    <w:rsid w:val="000E0EA4"/>
    <w:rsid w:val="000E2C2D"/>
    <w:rsid w:val="000E3A58"/>
    <w:rsid w:val="000E6FCF"/>
    <w:rsid w:val="000E74F5"/>
    <w:rsid w:val="000F26C2"/>
    <w:rsid w:val="000F40EF"/>
    <w:rsid w:val="000F4F9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BBD"/>
    <w:rsid w:val="00170CB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1FCF"/>
    <w:rsid w:val="001C2816"/>
    <w:rsid w:val="001C2EA5"/>
    <w:rsid w:val="001C33B5"/>
    <w:rsid w:val="001C3EF4"/>
    <w:rsid w:val="001C4735"/>
    <w:rsid w:val="001C55B8"/>
    <w:rsid w:val="001C6BF4"/>
    <w:rsid w:val="001C7510"/>
    <w:rsid w:val="001C7F48"/>
    <w:rsid w:val="001D0467"/>
    <w:rsid w:val="001D68E9"/>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7EE"/>
    <w:rsid w:val="001F37F9"/>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20BDB"/>
    <w:rsid w:val="00221987"/>
    <w:rsid w:val="00221B2B"/>
    <w:rsid w:val="00223491"/>
    <w:rsid w:val="00223AFB"/>
    <w:rsid w:val="00225653"/>
    <w:rsid w:val="00227A62"/>
    <w:rsid w:val="0023012D"/>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90E6F"/>
    <w:rsid w:val="00290FC6"/>
    <w:rsid w:val="00294152"/>
    <w:rsid w:val="0029430E"/>
    <w:rsid w:val="00294D46"/>
    <w:rsid w:val="002A409A"/>
    <w:rsid w:val="002A41C3"/>
    <w:rsid w:val="002A4A4D"/>
    <w:rsid w:val="002A7775"/>
    <w:rsid w:val="002A7B24"/>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2B9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2F7F98"/>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3BF1"/>
    <w:rsid w:val="00315CB8"/>
    <w:rsid w:val="003179ED"/>
    <w:rsid w:val="00320940"/>
    <w:rsid w:val="00322480"/>
    <w:rsid w:val="00324260"/>
    <w:rsid w:val="00324785"/>
    <w:rsid w:val="00324938"/>
    <w:rsid w:val="00325BC3"/>
    <w:rsid w:val="003278FD"/>
    <w:rsid w:val="00330048"/>
    <w:rsid w:val="00332715"/>
    <w:rsid w:val="00332FEB"/>
    <w:rsid w:val="00333928"/>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5A86"/>
    <w:rsid w:val="00365DE7"/>
    <w:rsid w:val="003668CF"/>
    <w:rsid w:val="003668F2"/>
    <w:rsid w:val="0037559F"/>
    <w:rsid w:val="00375B28"/>
    <w:rsid w:val="0037675E"/>
    <w:rsid w:val="00377E94"/>
    <w:rsid w:val="00381090"/>
    <w:rsid w:val="00381CD7"/>
    <w:rsid w:val="00385BC3"/>
    <w:rsid w:val="00385F76"/>
    <w:rsid w:val="003864F6"/>
    <w:rsid w:val="00390E31"/>
    <w:rsid w:val="00391737"/>
    <w:rsid w:val="0039344D"/>
    <w:rsid w:val="00393638"/>
    <w:rsid w:val="00393E05"/>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3BE"/>
    <w:rsid w:val="003C6B82"/>
    <w:rsid w:val="003C6D3A"/>
    <w:rsid w:val="003D092D"/>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4091"/>
    <w:rsid w:val="004162F1"/>
    <w:rsid w:val="0042197D"/>
    <w:rsid w:val="004248D9"/>
    <w:rsid w:val="00425D30"/>
    <w:rsid w:val="00426482"/>
    <w:rsid w:val="004268A6"/>
    <w:rsid w:val="00427CE2"/>
    <w:rsid w:val="004308FD"/>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2D8F"/>
    <w:rsid w:val="00493464"/>
    <w:rsid w:val="004939DF"/>
    <w:rsid w:val="00493D01"/>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506A"/>
    <w:rsid w:val="004C7417"/>
    <w:rsid w:val="004D1B68"/>
    <w:rsid w:val="004D1FC0"/>
    <w:rsid w:val="004D210B"/>
    <w:rsid w:val="004D24D3"/>
    <w:rsid w:val="004D279E"/>
    <w:rsid w:val="004D27EE"/>
    <w:rsid w:val="004D5BA3"/>
    <w:rsid w:val="004D6ABC"/>
    <w:rsid w:val="004E1034"/>
    <w:rsid w:val="004E13AF"/>
    <w:rsid w:val="004E2CA0"/>
    <w:rsid w:val="004E3133"/>
    <w:rsid w:val="004E40FD"/>
    <w:rsid w:val="004E789F"/>
    <w:rsid w:val="004F0E4B"/>
    <w:rsid w:val="004F1FFD"/>
    <w:rsid w:val="004F3247"/>
    <w:rsid w:val="004F49AA"/>
    <w:rsid w:val="004F521A"/>
    <w:rsid w:val="004F551E"/>
    <w:rsid w:val="005005B8"/>
    <w:rsid w:val="0050109F"/>
    <w:rsid w:val="00505AF3"/>
    <w:rsid w:val="005066F6"/>
    <w:rsid w:val="00513D6F"/>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29EF"/>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2184"/>
    <w:rsid w:val="00583D6C"/>
    <w:rsid w:val="00584568"/>
    <w:rsid w:val="00584BC8"/>
    <w:rsid w:val="00586890"/>
    <w:rsid w:val="00591469"/>
    <w:rsid w:val="00595C2D"/>
    <w:rsid w:val="005966F6"/>
    <w:rsid w:val="0059789A"/>
    <w:rsid w:val="00597910"/>
    <w:rsid w:val="005A133E"/>
    <w:rsid w:val="005A13C5"/>
    <w:rsid w:val="005A1D6C"/>
    <w:rsid w:val="005A2CFB"/>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6E0F"/>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096F"/>
    <w:rsid w:val="00611280"/>
    <w:rsid w:val="00611340"/>
    <w:rsid w:val="00611644"/>
    <w:rsid w:val="0061330D"/>
    <w:rsid w:val="00615991"/>
    <w:rsid w:val="00615AA1"/>
    <w:rsid w:val="00615FE9"/>
    <w:rsid w:val="006174FC"/>
    <w:rsid w:val="0062007D"/>
    <w:rsid w:val="006234A3"/>
    <w:rsid w:val="00623B34"/>
    <w:rsid w:val="00624E3D"/>
    <w:rsid w:val="006259CC"/>
    <w:rsid w:val="006308CD"/>
    <w:rsid w:val="006314DE"/>
    <w:rsid w:val="00634816"/>
    <w:rsid w:val="00634CC1"/>
    <w:rsid w:val="00635197"/>
    <w:rsid w:val="00635FA5"/>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6C74"/>
    <w:rsid w:val="00647401"/>
    <w:rsid w:val="0064777F"/>
    <w:rsid w:val="00647931"/>
    <w:rsid w:val="00650169"/>
    <w:rsid w:val="0065247A"/>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1FA"/>
    <w:rsid w:val="0067569B"/>
    <w:rsid w:val="00677B92"/>
    <w:rsid w:val="00680184"/>
    <w:rsid w:val="00680196"/>
    <w:rsid w:val="006801F0"/>
    <w:rsid w:val="006803EA"/>
    <w:rsid w:val="006813E4"/>
    <w:rsid w:val="00683D39"/>
    <w:rsid w:val="006877F6"/>
    <w:rsid w:val="00687A8C"/>
    <w:rsid w:val="00693450"/>
    <w:rsid w:val="00695912"/>
    <w:rsid w:val="00696435"/>
    <w:rsid w:val="006964C3"/>
    <w:rsid w:val="00697C9C"/>
    <w:rsid w:val="006A53C9"/>
    <w:rsid w:val="006B0230"/>
    <w:rsid w:val="006B075E"/>
    <w:rsid w:val="006B0F3D"/>
    <w:rsid w:val="006B135C"/>
    <w:rsid w:val="006C162F"/>
    <w:rsid w:val="006C185A"/>
    <w:rsid w:val="006C1EBB"/>
    <w:rsid w:val="006C3986"/>
    <w:rsid w:val="006C4F78"/>
    <w:rsid w:val="006C63AE"/>
    <w:rsid w:val="006C63C2"/>
    <w:rsid w:val="006C711B"/>
    <w:rsid w:val="006D07D6"/>
    <w:rsid w:val="006D09F8"/>
    <w:rsid w:val="006D2138"/>
    <w:rsid w:val="006D37D0"/>
    <w:rsid w:val="006D46B5"/>
    <w:rsid w:val="006D52AD"/>
    <w:rsid w:val="006D6113"/>
    <w:rsid w:val="006E08CC"/>
    <w:rsid w:val="006E1DDD"/>
    <w:rsid w:val="006E2EDF"/>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3688"/>
    <w:rsid w:val="00735154"/>
    <w:rsid w:val="007359E9"/>
    <w:rsid w:val="00736249"/>
    <w:rsid w:val="00736318"/>
    <w:rsid w:val="007406B5"/>
    <w:rsid w:val="00740823"/>
    <w:rsid w:val="00741AA7"/>
    <w:rsid w:val="00742BEF"/>
    <w:rsid w:val="0074315A"/>
    <w:rsid w:val="00745BB3"/>
    <w:rsid w:val="007478F2"/>
    <w:rsid w:val="00752622"/>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546"/>
    <w:rsid w:val="00793B14"/>
    <w:rsid w:val="007949E0"/>
    <w:rsid w:val="00794CB0"/>
    <w:rsid w:val="00795327"/>
    <w:rsid w:val="00795ECB"/>
    <w:rsid w:val="007975A4"/>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358C"/>
    <w:rsid w:val="007C3CB1"/>
    <w:rsid w:val="007D1532"/>
    <w:rsid w:val="007D1B4B"/>
    <w:rsid w:val="007D26F6"/>
    <w:rsid w:val="007D383B"/>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5A80"/>
    <w:rsid w:val="00806A0E"/>
    <w:rsid w:val="00810336"/>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15A"/>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4D7C"/>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D7AA7"/>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57FC"/>
    <w:rsid w:val="008F6907"/>
    <w:rsid w:val="008F7D4B"/>
    <w:rsid w:val="009009A6"/>
    <w:rsid w:val="00901A7B"/>
    <w:rsid w:val="00902751"/>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B6"/>
    <w:rsid w:val="009377E2"/>
    <w:rsid w:val="00940057"/>
    <w:rsid w:val="009404CF"/>
    <w:rsid w:val="00944ABA"/>
    <w:rsid w:val="00947EA6"/>
    <w:rsid w:val="00953180"/>
    <w:rsid w:val="00954311"/>
    <w:rsid w:val="0095587D"/>
    <w:rsid w:val="00956192"/>
    <w:rsid w:val="009561EC"/>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3FBD"/>
    <w:rsid w:val="00985AB5"/>
    <w:rsid w:val="00987A22"/>
    <w:rsid w:val="00990092"/>
    <w:rsid w:val="00990429"/>
    <w:rsid w:val="0099350E"/>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5F0"/>
    <w:rsid w:val="009F799C"/>
    <w:rsid w:val="00A00346"/>
    <w:rsid w:val="00A03C1C"/>
    <w:rsid w:val="00A0637C"/>
    <w:rsid w:val="00A07A20"/>
    <w:rsid w:val="00A10891"/>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10BA"/>
    <w:rsid w:val="00A52229"/>
    <w:rsid w:val="00A54F6C"/>
    <w:rsid w:val="00A56581"/>
    <w:rsid w:val="00A56AF1"/>
    <w:rsid w:val="00A60FAE"/>
    <w:rsid w:val="00A61B9E"/>
    <w:rsid w:val="00A63839"/>
    <w:rsid w:val="00A6445C"/>
    <w:rsid w:val="00A6751F"/>
    <w:rsid w:val="00A70147"/>
    <w:rsid w:val="00A71064"/>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8791F"/>
    <w:rsid w:val="00A87BEC"/>
    <w:rsid w:val="00A902E1"/>
    <w:rsid w:val="00A90503"/>
    <w:rsid w:val="00A93216"/>
    <w:rsid w:val="00A938FC"/>
    <w:rsid w:val="00A93F34"/>
    <w:rsid w:val="00A94B13"/>
    <w:rsid w:val="00A96C0B"/>
    <w:rsid w:val="00A96D1B"/>
    <w:rsid w:val="00A97519"/>
    <w:rsid w:val="00A979ED"/>
    <w:rsid w:val="00AA0BC7"/>
    <w:rsid w:val="00AA203D"/>
    <w:rsid w:val="00AA279E"/>
    <w:rsid w:val="00AA2D93"/>
    <w:rsid w:val="00AA537E"/>
    <w:rsid w:val="00AA59A0"/>
    <w:rsid w:val="00AA6FD4"/>
    <w:rsid w:val="00AA7200"/>
    <w:rsid w:val="00AA778D"/>
    <w:rsid w:val="00AB0812"/>
    <w:rsid w:val="00AB2920"/>
    <w:rsid w:val="00AB385C"/>
    <w:rsid w:val="00AC0A94"/>
    <w:rsid w:val="00AC1A4B"/>
    <w:rsid w:val="00AC3642"/>
    <w:rsid w:val="00AD0126"/>
    <w:rsid w:val="00AD01C2"/>
    <w:rsid w:val="00AD0FCB"/>
    <w:rsid w:val="00AD159C"/>
    <w:rsid w:val="00AD320D"/>
    <w:rsid w:val="00AD4DD2"/>
    <w:rsid w:val="00AE1333"/>
    <w:rsid w:val="00AE6FA7"/>
    <w:rsid w:val="00AE7035"/>
    <w:rsid w:val="00AE7757"/>
    <w:rsid w:val="00AF060E"/>
    <w:rsid w:val="00AF2D42"/>
    <w:rsid w:val="00AF4402"/>
    <w:rsid w:val="00AF52C7"/>
    <w:rsid w:val="00AF569A"/>
    <w:rsid w:val="00AF572D"/>
    <w:rsid w:val="00AF5EEF"/>
    <w:rsid w:val="00AF79CB"/>
    <w:rsid w:val="00AF7F1E"/>
    <w:rsid w:val="00B012CD"/>
    <w:rsid w:val="00B01639"/>
    <w:rsid w:val="00B03B71"/>
    <w:rsid w:val="00B03C9D"/>
    <w:rsid w:val="00B07D81"/>
    <w:rsid w:val="00B11870"/>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55926"/>
    <w:rsid w:val="00B651E4"/>
    <w:rsid w:val="00B65791"/>
    <w:rsid w:val="00B66A36"/>
    <w:rsid w:val="00B72438"/>
    <w:rsid w:val="00B72BAB"/>
    <w:rsid w:val="00B73EBD"/>
    <w:rsid w:val="00B74559"/>
    <w:rsid w:val="00B76557"/>
    <w:rsid w:val="00B81140"/>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06F9"/>
    <w:rsid w:val="00BC2BA2"/>
    <w:rsid w:val="00BC2ED4"/>
    <w:rsid w:val="00BC36B3"/>
    <w:rsid w:val="00BC6BCA"/>
    <w:rsid w:val="00BD0693"/>
    <w:rsid w:val="00BD08E5"/>
    <w:rsid w:val="00BD0CA8"/>
    <w:rsid w:val="00BD0CCE"/>
    <w:rsid w:val="00BD0F2D"/>
    <w:rsid w:val="00BD1014"/>
    <w:rsid w:val="00BD396E"/>
    <w:rsid w:val="00BD4914"/>
    <w:rsid w:val="00BD4BB8"/>
    <w:rsid w:val="00BD55B7"/>
    <w:rsid w:val="00BD659A"/>
    <w:rsid w:val="00BD7AF5"/>
    <w:rsid w:val="00BD7F12"/>
    <w:rsid w:val="00BE0572"/>
    <w:rsid w:val="00BE0F0E"/>
    <w:rsid w:val="00BE20C3"/>
    <w:rsid w:val="00BE2331"/>
    <w:rsid w:val="00BE470D"/>
    <w:rsid w:val="00BE4A53"/>
    <w:rsid w:val="00BE6403"/>
    <w:rsid w:val="00BE7875"/>
    <w:rsid w:val="00BF0642"/>
    <w:rsid w:val="00BF1223"/>
    <w:rsid w:val="00BF21B1"/>
    <w:rsid w:val="00BF29AC"/>
    <w:rsid w:val="00BF4912"/>
    <w:rsid w:val="00BF4B8F"/>
    <w:rsid w:val="00C000FD"/>
    <w:rsid w:val="00C005BC"/>
    <w:rsid w:val="00C01DF1"/>
    <w:rsid w:val="00C02C4C"/>
    <w:rsid w:val="00C04D83"/>
    <w:rsid w:val="00C1070D"/>
    <w:rsid w:val="00C10B3B"/>
    <w:rsid w:val="00C11ECE"/>
    <w:rsid w:val="00C129DE"/>
    <w:rsid w:val="00C150BB"/>
    <w:rsid w:val="00C16B79"/>
    <w:rsid w:val="00C2099E"/>
    <w:rsid w:val="00C224C0"/>
    <w:rsid w:val="00C22816"/>
    <w:rsid w:val="00C23CF0"/>
    <w:rsid w:val="00C249F4"/>
    <w:rsid w:val="00C3020C"/>
    <w:rsid w:val="00C31272"/>
    <w:rsid w:val="00C31BB5"/>
    <w:rsid w:val="00C34562"/>
    <w:rsid w:val="00C369F9"/>
    <w:rsid w:val="00C410A7"/>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412"/>
    <w:rsid w:val="00C715BD"/>
    <w:rsid w:val="00C7228F"/>
    <w:rsid w:val="00C74FB5"/>
    <w:rsid w:val="00C76128"/>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7AB"/>
    <w:rsid w:val="00CA5CC9"/>
    <w:rsid w:val="00CA723F"/>
    <w:rsid w:val="00CB09CE"/>
    <w:rsid w:val="00CB1B1A"/>
    <w:rsid w:val="00CB2A6E"/>
    <w:rsid w:val="00CB6C17"/>
    <w:rsid w:val="00CB71D1"/>
    <w:rsid w:val="00CB7304"/>
    <w:rsid w:val="00CB78C4"/>
    <w:rsid w:val="00CC0897"/>
    <w:rsid w:val="00CC1CB4"/>
    <w:rsid w:val="00CC3478"/>
    <w:rsid w:val="00CC7D0A"/>
    <w:rsid w:val="00CD02AB"/>
    <w:rsid w:val="00CD13F8"/>
    <w:rsid w:val="00CD2013"/>
    <w:rsid w:val="00CD28D5"/>
    <w:rsid w:val="00CD2EA0"/>
    <w:rsid w:val="00CD330F"/>
    <w:rsid w:val="00CD4123"/>
    <w:rsid w:val="00CD6788"/>
    <w:rsid w:val="00CD681E"/>
    <w:rsid w:val="00CE11F6"/>
    <w:rsid w:val="00CE2716"/>
    <w:rsid w:val="00CE2DFA"/>
    <w:rsid w:val="00CE2F2A"/>
    <w:rsid w:val="00CE461E"/>
    <w:rsid w:val="00CE699E"/>
    <w:rsid w:val="00CE7B3A"/>
    <w:rsid w:val="00CE7BEC"/>
    <w:rsid w:val="00CF00D7"/>
    <w:rsid w:val="00CF01F6"/>
    <w:rsid w:val="00CF2C6A"/>
    <w:rsid w:val="00CF5B2A"/>
    <w:rsid w:val="00CF5CDF"/>
    <w:rsid w:val="00CF6DC4"/>
    <w:rsid w:val="00CF76B3"/>
    <w:rsid w:val="00CF77BF"/>
    <w:rsid w:val="00CF7D07"/>
    <w:rsid w:val="00D00BE7"/>
    <w:rsid w:val="00D00E94"/>
    <w:rsid w:val="00D03109"/>
    <w:rsid w:val="00D03A53"/>
    <w:rsid w:val="00D04219"/>
    <w:rsid w:val="00D042B9"/>
    <w:rsid w:val="00D075C8"/>
    <w:rsid w:val="00D07BCA"/>
    <w:rsid w:val="00D100AF"/>
    <w:rsid w:val="00D100F6"/>
    <w:rsid w:val="00D11A4B"/>
    <w:rsid w:val="00D125BB"/>
    <w:rsid w:val="00D14823"/>
    <w:rsid w:val="00D17BFC"/>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1420"/>
    <w:rsid w:val="00D8203D"/>
    <w:rsid w:val="00D82B67"/>
    <w:rsid w:val="00D85741"/>
    <w:rsid w:val="00D87257"/>
    <w:rsid w:val="00D903E2"/>
    <w:rsid w:val="00D9055C"/>
    <w:rsid w:val="00D90A45"/>
    <w:rsid w:val="00D90C50"/>
    <w:rsid w:val="00D92F9F"/>
    <w:rsid w:val="00D93260"/>
    <w:rsid w:val="00D934F0"/>
    <w:rsid w:val="00D94754"/>
    <w:rsid w:val="00D94C5D"/>
    <w:rsid w:val="00D95E2C"/>
    <w:rsid w:val="00D977EB"/>
    <w:rsid w:val="00DA0CE7"/>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5E00"/>
    <w:rsid w:val="00DD6D36"/>
    <w:rsid w:val="00DE0B13"/>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BBE"/>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32E1"/>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4B9D"/>
    <w:rsid w:val="00E85FC6"/>
    <w:rsid w:val="00E86D1B"/>
    <w:rsid w:val="00E87DB5"/>
    <w:rsid w:val="00E963FB"/>
    <w:rsid w:val="00E975A8"/>
    <w:rsid w:val="00EA0275"/>
    <w:rsid w:val="00EA1D46"/>
    <w:rsid w:val="00EA29A3"/>
    <w:rsid w:val="00EA4A4C"/>
    <w:rsid w:val="00EA543D"/>
    <w:rsid w:val="00EA71B1"/>
    <w:rsid w:val="00EB025B"/>
    <w:rsid w:val="00EB198B"/>
    <w:rsid w:val="00EB2240"/>
    <w:rsid w:val="00EB38EF"/>
    <w:rsid w:val="00EB44C1"/>
    <w:rsid w:val="00EB6ADA"/>
    <w:rsid w:val="00EC15BB"/>
    <w:rsid w:val="00EC161A"/>
    <w:rsid w:val="00EC4A3F"/>
    <w:rsid w:val="00EC4E93"/>
    <w:rsid w:val="00EC6E0D"/>
    <w:rsid w:val="00ED006E"/>
    <w:rsid w:val="00ED0802"/>
    <w:rsid w:val="00ED2169"/>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6D25"/>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2A68"/>
    <w:rsid w:val="00F43AF9"/>
    <w:rsid w:val="00F43F47"/>
    <w:rsid w:val="00F45473"/>
    <w:rsid w:val="00F45A78"/>
    <w:rsid w:val="00F468B8"/>
    <w:rsid w:val="00F470C3"/>
    <w:rsid w:val="00F50033"/>
    <w:rsid w:val="00F51A9F"/>
    <w:rsid w:val="00F52D4D"/>
    <w:rsid w:val="00F52E60"/>
    <w:rsid w:val="00F537FA"/>
    <w:rsid w:val="00F618F1"/>
    <w:rsid w:val="00F62A1B"/>
    <w:rsid w:val="00F650D3"/>
    <w:rsid w:val="00F6643C"/>
    <w:rsid w:val="00F67880"/>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9740E"/>
    <w:rsid w:val="00FA062B"/>
    <w:rsid w:val="00FA0D5C"/>
    <w:rsid w:val="00FA1077"/>
    <w:rsid w:val="00FA1098"/>
    <w:rsid w:val="00FA21AA"/>
    <w:rsid w:val="00FA47DC"/>
    <w:rsid w:val="00FA6179"/>
    <w:rsid w:val="00FA63A2"/>
    <w:rsid w:val="00FA66DE"/>
    <w:rsid w:val="00FA6C94"/>
    <w:rsid w:val="00FA7CB6"/>
    <w:rsid w:val="00FB071A"/>
    <w:rsid w:val="00FB1A16"/>
    <w:rsid w:val="00FB1A1C"/>
    <w:rsid w:val="00FB2692"/>
    <w:rsid w:val="00FB45DC"/>
    <w:rsid w:val="00FB5FAE"/>
    <w:rsid w:val="00FB6753"/>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96567"/>
  <w15:docId w15:val="{0BE3F141-B51C-4DD3-AAA7-894E7B44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B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Indent">
    <w:name w:val="Body Text Indent"/>
    <w:basedOn w:val="Normal"/>
    <w:link w:val="BodyTextIndentChar"/>
    <w:uiPriority w:val="99"/>
    <w:semiHidden/>
    <w:unhideWhenUsed/>
    <w:rsid w:val="00646C74"/>
    <w:pPr>
      <w:spacing w:after="120"/>
      <w:ind w:left="283"/>
    </w:pPr>
  </w:style>
  <w:style w:type="character" w:customStyle="1" w:styleId="BodyTextIndentChar">
    <w:name w:val="Body Text Indent Char"/>
    <w:basedOn w:val="DefaultParagraphFont"/>
    <w:link w:val="BodyTextIndent"/>
    <w:uiPriority w:val="99"/>
    <w:semiHidden/>
    <w:rsid w:val="00646C74"/>
    <w:rPr>
      <w:rFonts w:ascii="Times New Roman" w:eastAsia="Times New Roman" w:hAnsi="Times New Roman" w:cs="Times New Roman"/>
      <w:sz w:val="24"/>
      <w:szCs w:val="24"/>
      <w:lang w:val="ro-RO"/>
    </w:rPr>
  </w:style>
  <w:style w:type="paragraph" w:styleId="NormalWeb">
    <w:name w:val="Normal (Web)"/>
    <w:basedOn w:val="Normal"/>
    <w:uiPriority w:val="99"/>
    <w:semiHidden/>
    <w:unhideWhenUsed/>
    <w:rsid w:val="00E84B9D"/>
    <w:pPr>
      <w:spacing w:before="100" w:beforeAutospacing="1" w:after="100" w:afterAutospacing="1"/>
    </w:pPr>
    <w:rPr>
      <w:rFonts w:eastAsiaTheme="minorHAns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6079480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02190792">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42217109">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etrualboi\Documents\Aplicare%20Ordin%20OG15\OUG%20MIPE\Varianta%20Oficiala%20la%2029.04.2022\Grafice%20evolutie%20indic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oana.arat:Library:Containers:com.apple.mail:Data:Library:Mail%20Downloads:D82AC3E1-380A-4904-92DB-07EE753FCB66:Grafice%20evolutie%20indic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oana.arat:Library:Containers:com.apple.mail:Data:Library:Mail%20Downloads:D82AC3E1-380A-4904-92DB-07EE753FCB66:Grafice%20evolutie%20indic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oana.arat:Library:Containers:com.apple.mail:Data:Library:Mail%20Downloads:D82AC3E1-380A-4904-92DB-07EE753FCB66:Grafice%20evolutie%20indici.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C:\Users\petrualboi\Documents\Aplicare%20Ordin%20OG15\OUG%20MIPE\Varianta%20Oficiala%20la%2029.04.2022\Grafice%20evolutie%20indici.xlsx"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petrualboi\Documents\Aplicare%20Ordin%20OG15\OUG%20MIPE\Varianta%20Oficiala%20la%2029.04.2022\Grafice%20evolutie%20indici.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o-RO"/>
              <a:t>Evoluție indice de cost în construcții total, prognozat</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'Matrice Indici Ajustare Anuala'!$N$3:$N$9</c:f>
              <c:strCache>
                <c:ptCount val="6"/>
                <c:pt idx="0">
                  <c:v>2017</c:v>
                </c:pt>
                <c:pt idx="1">
                  <c:v>2018</c:v>
                </c:pt>
                <c:pt idx="2">
                  <c:v>2019</c:v>
                </c:pt>
                <c:pt idx="3">
                  <c:v>2020</c:v>
                </c:pt>
                <c:pt idx="4">
                  <c:v>2021</c:v>
                </c:pt>
                <c:pt idx="5">
                  <c:v>2022</c:v>
                </c:pt>
              </c:strCache>
              <c:extLst/>
            </c:strRef>
          </c:cat>
          <c:val>
            <c:numRef>
              <c:f>'Matrice Indici Ajustare Anuala'!$P$3:$P$9</c:f>
              <c:numCache>
                <c:formatCode>0.00</c:formatCode>
                <c:ptCount val="6"/>
                <c:pt idx="0">
                  <c:v>110.48975</c:v>
                </c:pt>
                <c:pt idx="1">
                  <c:v>111.6275416666666</c:v>
                </c:pt>
                <c:pt idx="2">
                  <c:v>131.25937500000001</c:v>
                </c:pt>
                <c:pt idx="3">
                  <c:v>141.323125</c:v>
                </c:pt>
                <c:pt idx="4">
                  <c:v>141.13631873333341</c:v>
                </c:pt>
                <c:pt idx="5">
                  <c:v>157.90079166666669</c:v>
                </c:pt>
              </c:numCache>
              <c:extLst/>
            </c:numRef>
          </c:val>
          <c:extLst>
            <c:ext xmlns:c16="http://schemas.microsoft.com/office/drawing/2014/chart" uri="{C3380CC4-5D6E-409C-BE32-E72D297353CC}">
              <c16:uniqueId val="{00000000-2262-4F6D-881F-596E264878FD}"/>
            </c:ext>
          </c:extLst>
        </c:ser>
        <c:dLbls>
          <c:dLblPos val="inEnd"/>
          <c:showLegendKey val="0"/>
          <c:showVal val="1"/>
          <c:showCatName val="0"/>
          <c:showSerName val="0"/>
          <c:showPercent val="0"/>
          <c:showBubbleSize val="0"/>
        </c:dLbls>
        <c:gapWidth val="115"/>
        <c:overlap val="-20"/>
        <c:axId val="2138283528"/>
        <c:axId val="2135445192"/>
      </c:barChart>
      <c:catAx>
        <c:axId val="213828352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5445192"/>
        <c:crosses val="autoZero"/>
        <c:auto val="1"/>
        <c:lblAlgn val="ctr"/>
        <c:lblOffset val="100"/>
        <c:noMultiLvlLbl val="0"/>
      </c:catAx>
      <c:valAx>
        <c:axId val="213544519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8283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o-RO"/>
              <a:t>Evoluție indice de cost în construcții total, realizat</a:t>
            </a:r>
            <a:endParaRPr lang="en-US"/>
          </a:p>
        </c:rich>
      </c:tx>
      <c:overlay val="0"/>
      <c:spPr>
        <a:noFill/>
        <a:ln>
          <a:noFill/>
        </a:ln>
        <a:effectLst/>
      </c:spPr>
    </c:title>
    <c:autoTitleDeleted val="0"/>
    <c:plotArea>
      <c:layout/>
      <c:barChart>
        <c:barDir val="bar"/>
        <c:grouping val="clustered"/>
        <c:varyColors val="0"/>
        <c:ser>
          <c:idx val="0"/>
          <c:order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'Matrice Indici Ajustare Anuala'!$N$4:$N$9</c:f>
              <c:numCache>
                <c:formatCode>General</c:formatCode>
                <c:ptCount val="6"/>
                <c:pt idx="0">
                  <c:v>2017</c:v>
                </c:pt>
                <c:pt idx="1">
                  <c:v>2018</c:v>
                </c:pt>
                <c:pt idx="2">
                  <c:v>2019</c:v>
                </c:pt>
                <c:pt idx="3">
                  <c:v>2020</c:v>
                </c:pt>
                <c:pt idx="4">
                  <c:v>2021</c:v>
                </c:pt>
                <c:pt idx="5">
                  <c:v>2022</c:v>
                </c:pt>
              </c:numCache>
            </c:numRef>
          </c:cat>
          <c:val>
            <c:numRef>
              <c:f>'Matrice Indici Ajustare Anuala'!$O$3:$O$9</c:f>
              <c:numCache>
                <c:formatCode>0.00</c:formatCode>
                <c:ptCount val="6"/>
                <c:pt idx="0">
                  <c:v>108.0083333333333</c:v>
                </c:pt>
                <c:pt idx="1">
                  <c:v>124.10833333333331</c:v>
                </c:pt>
                <c:pt idx="2">
                  <c:v>134.54166666666671</c:v>
                </c:pt>
                <c:pt idx="3">
                  <c:v>136.05833333333331</c:v>
                </c:pt>
                <c:pt idx="4">
                  <c:v>152.54166666666671</c:v>
                </c:pt>
                <c:pt idx="5">
                  <c:v>165.15</c:v>
                </c:pt>
              </c:numCache>
              <c:extLst/>
            </c:numRef>
          </c:val>
          <c:extLst>
            <c:ext xmlns:c16="http://schemas.microsoft.com/office/drawing/2014/chart" uri="{C3380CC4-5D6E-409C-BE32-E72D297353CC}">
              <c16:uniqueId val="{00000000-D2DC-48FB-89BF-4209CD68CCA5}"/>
            </c:ext>
          </c:extLst>
        </c:ser>
        <c:dLbls>
          <c:dLblPos val="inEnd"/>
          <c:showLegendKey val="0"/>
          <c:showVal val="1"/>
          <c:showCatName val="0"/>
          <c:showSerName val="0"/>
          <c:showPercent val="0"/>
          <c:showBubbleSize val="0"/>
        </c:dLbls>
        <c:gapWidth val="115"/>
        <c:overlap val="-20"/>
        <c:axId val="2141457864"/>
        <c:axId val="2145904424"/>
      </c:barChart>
      <c:catAx>
        <c:axId val="214145786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5904424"/>
        <c:crosses val="autoZero"/>
        <c:auto val="1"/>
        <c:lblAlgn val="ctr"/>
        <c:lblOffset val="100"/>
        <c:noMultiLvlLbl val="0"/>
      </c:catAx>
      <c:valAx>
        <c:axId val="214590442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1457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o-RO"/>
              <a:t>Evoluție diferentă între indicele de cost în construcții total, realizat și prognozat</a:t>
            </a:r>
            <a:endParaRPr lang="en-US"/>
          </a:p>
        </c:rich>
      </c:tx>
      <c:overlay val="0"/>
      <c:spPr>
        <a:noFill/>
        <a:ln>
          <a:noFill/>
        </a:ln>
        <a:effectLst/>
      </c:spPr>
    </c:title>
    <c:autoTitleDeleted val="0"/>
    <c:plotArea>
      <c:layout>
        <c:manualLayout>
          <c:layoutTarget val="inner"/>
          <c:xMode val="edge"/>
          <c:yMode val="edge"/>
          <c:x val="7.6716522299946494E-2"/>
          <c:y val="0.30583333333333301"/>
          <c:w val="0.89561213050853195"/>
          <c:h val="0.56974482356372103"/>
        </c:manualLayout>
      </c:layout>
      <c:barChart>
        <c:barDir val="col"/>
        <c:grouping val="clustered"/>
        <c:varyColors val="0"/>
        <c:ser>
          <c:idx val="0"/>
          <c:order val="0"/>
          <c:tx>
            <c:v>Diferență</c:v>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numRef>
              <c:f>'Matrice Indici Ajustare Anuala'!$N$4:$N$9</c:f>
              <c:numCache>
                <c:formatCode>General</c:formatCode>
                <c:ptCount val="6"/>
                <c:pt idx="0">
                  <c:v>2017</c:v>
                </c:pt>
                <c:pt idx="1">
                  <c:v>2018</c:v>
                </c:pt>
                <c:pt idx="2">
                  <c:v>2019</c:v>
                </c:pt>
                <c:pt idx="3">
                  <c:v>2020</c:v>
                </c:pt>
                <c:pt idx="4">
                  <c:v>2021</c:v>
                </c:pt>
                <c:pt idx="5">
                  <c:v>2022</c:v>
                </c:pt>
              </c:numCache>
            </c:numRef>
          </c:cat>
          <c:val>
            <c:numRef>
              <c:f>'Matrice Indici Ajustare Anuala'!$S$3:$S$9</c:f>
              <c:numCache>
                <c:formatCode>0.00</c:formatCode>
                <c:ptCount val="6"/>
                <c:pt idx="0">
                  <c:v>-2.481416666666675</c:v>
                </c:pt>
                <c:pt idx="1">
                  <c:v>12.4807916666667</c:v>
                </c:pt>
                <c:pt idx="2">
                  <c:v>3.2822916666666511</c:v>
                </c:pt>
                <c:pt idx="3">
                  <c:v>-5.2647916666666674</c:v>
                </c:pt>
                <c:pt idx="4">
                  <c:v>11.40534793333333</c:v>
                </c:pt>
                <c:pt idx="5">
                  <c:v>7.249208333333315</c:v>
                </c:pt>
              </c:numCache>
              <c:extLst/>
            </c:numRef>
          </c:val>
          <c:extLst>
            <c:ext xmlns:c16="http://schemas.microsoft.com/office/drawing/2014/chart" uri="{C3380CC4-5D6E-409C-BE32-E72D297353CC}">
              <c16:uniqueId val="{00000000-AB62-4DE0-8044-269B96589E2C}"/>
            </c:ext>
          </c:extLst>
        </c:ser>
        <c:dLbls>
          <c:showLegendKey val="0"/>
          <c:showVal val="0"/>
          <c:showCatName val="0"/>
          <c:showSerName val="0"/>
          <c:showPercent val="0"/>
          <c:showBubbleSize val="0"/>
        </c:dLbls>
        <c:gapWidth val="100"/>
        <c:overlap val="-24"/>
        <c:axId val="2143734744"/>
        <c:axId val="2136880264"/>
      </c:barChart>
      <c:catAx>
        <c:axId val="2143734744"/>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6880264"/>
        <c:crosses val="autoZero"/>
        <c:auto val="1"/>
        <c:lblAlgn val="ctr"/>
        <c:lblOffset val="100"/>
        <c:noMultiLvlLbl val="0"/>
      </c:catAx>
      <c:valAx>
        <c:axId val="21368802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3734744"/>
        <c:crosses val="autoZero"/>
        <c:crossBetween val="between"/>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o-RO"/>
              <a:t>Evoluția principalilor indicatori</a:t>
            </a:r>
            <a:endParaRPr lang="en-US"/>
          </a:p>
        </c:rich>
      </c:tx>
      <c:overlay val="0"/>
      <c:spPr>
        <a:noFill/>
        <a:ln>
          <a:noFill/>
        </a:ln>
        <a:effectLst/>
      </c:spPr>
    </c:title>
    <c:autoTitleDeleted val="0"/>
    <c:plotArea>
      <c:layout/>
      <c:barChart>
        <c:barDir val="bar"/>
        <c:grouping val="clustered"/>
        <c:varyColors val="0"/>
        <c:ser>
          <c:idx val="0"/>
          <c:order val="0"/>
          <c:tx>
            <c:strRef>
              <c:f>[2]Sheet7!$R$4</c:f>
              <c:strCache>
                <c:ptCount val="1"/>
                <c:pt idx="0">
                  <c:v>Ciment</c:v>
                </c:pt>
              </c:strCache>
            </c:strRef>
          </c:tx>
          <c:spPr>
            <a:solidFill>
              <a:schemeClr val="accent1"/>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[2]Sheet7!$R$5:$R$10</c:f>
              <c:numCache>
                <c:formatCode>General</c:formatCode>
                <c:ptCount val="6"/>
                <c:pt idx="0">
                  <c:v>101.0658333333333</c:v>
                </c:pt>
                <c:pt idx="1">
                  <c:v>102.0625</c:v>
                </c:pt>
                <c:pt idx="2">
                  <c:v>108.10250000000001</c:v>
                </c:pt>
                <c:pt idx="3">
                  <c:v>115.4608333333333</c:v>
                </c:pt>
                <c:pt idx="4">
                  <c:v>121.3983333333333</c:v>
                </c:pt>
                <c:pt idx="5">
                  <c:v>141.34</c:v>
                </c:pt>
              </c:numCache>
            </c:numRef>
          </c:val>
          <c:extLst>
            <c:ext xmlns:c16="http://schemas.microsoft.com/office/drawing/2014/chart" uri="{C3380CC4-5D6E-409C-BE32-E72D297353CC}">
              <c16:uniqueId val="{00000000-DD5A-4EF7-ADD9-5E812D3A96BB}"/>
            </c:ext>
          </c:extLst>
        </c:ser>
        <c:ser>
          <c:idx val="1"/>
          <c:order val="1"/>
          <c:tx>
            <c:strRef>
              <c:f>[2]Sheet7!$S$4</c:f>
              <c:strCache>
                <c:ptCount val="1"/>
                <c:pt idx="0">
                  <c:v>Bitum</c:v>
                </c:pt>
              </c:strCache>
            </c:strRef>
          </c:tx>
          <c:spPr>
            <a:solidFill>
              <a:schemeClr val="accent2"/>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[2]Sheet7!$S$5:$S$10</c:f>
              <c:numCache>
                <c:formatCode>General</c:formatCode>
                <c:ptCount val="6"/>
                <c:pt idx="0">
                  <c:v>101.00749999999999</c:v>
                </c:pt>
                <c:pt idx="1">
                  <c:v>121.0541666666667</c:v>
                </c:pt>
                <c:pt idx="2">
                  <c:v>118.0358333333333</c:v>
                </c:pt>
                <c:pt idx="3">
                  <c:v>82.877499999999998</c:v>
                </c:pt>
                <c:pt idx="4">
                  <c:v>125.6525</c:v>
                </c:pt>
                <c:pt idx="5">
                  <c:v>166.3</c:v>
                </c:pt>
              </c:numCache>
            </c:numRef>
          </c:val>
          <c:extLst>
            <c:ext xmlns:c16="http://schemas.microsoft.com/office/drawing/2014/chart" uri="{C3380CC4-5D6E-409C-BE32-E72D297353CC}">
              <c16:uniqueId val="{00000001-DD5A-4EF7-ADD9-5E812D3A96BB}"/>
            </c:ext>
          </c:extLst>
        </c:ser>
        <c:ser>
          <c:idx val="2"/>
          <c:order val="2"/>
          <c:tx>
            <c:strRef>
              <c:f>[2]Sheet7!$T$4</c:f>
              <c:strCache>
                <c:ptCount val="1"/>
                <c:pt idx="0">
                  <c:v>Otel</c:v>
                </c:pt>
              </c:strCache>
            </c:strRef>
          </c:tx>
          <c:spPr>
            <a:solidFill>
              <a:schemeClr val="accent3"/>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[2]Sheet7!$T$5:$T$10</c:f>
              <c:numCache>
                <c:formatCode>General</c:formatCode>
                <c:ptCount val="6"/>
                <c:pt idx="0">
                  <c:v>99</c:v>
                </c:pt>
                <c:pt idx="1">
                  <c:v>98.38666666666667</c:v>
                </c:pt>
                <c:pt idx="2">
                  <c:v>109.4466666666667</c:v>
                </c:pt>
                <c:pt idx="3">
                  <c:v>112.2391666666667</c:v>
                </c:pt>
                <c:pt idx="4">
                  <c:v>113.0125</c:v>
                </c:pt>
                <c:pt idx="5">
                  <c:v>118.93</c:v>
                </c:pt>
              </c:numCache>
            </c:numRef>
          </c:val>
          <c:extLst>
            <c:ext xmlns:c16="http://schemas.microsoft.com/office/drawing/2014/chart" uri="{C3380CC4-5D6E-409C-BE32-E72D297353CC}">
              <c16:uniqueId val="{00000002-DD5A-4EF7-ADD9-5E812D3A96BB}"/>
            </c:ext>
          </c:extLst>
        </c:ser>
        <c:ser>
          <c:idx val="3"/>
          <c:order val="3"/>
          <c:tx>
            <c:strRef>
              <c:f>[2]Sheet7!$V$4</c:f>
              <c:strCache>
                <c:ptCount val="1"/>
                <c:pt idx="0">
                  <c:v>Beton</c:v>
                </c:pt>
              </c:strCache>
            </c:strRef>
          </c:tx>
          <c:spPr>
            <a:solidFill>
              <a:schemeClr val="accent4"/>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[2]Sheet7!$V$5:$V$10</c:f>
              <c:numCache>
                <c:formatCode>General</c:formatCode>
                <c:ptCount val="6"/>
                <c:pt idx="0">
                  <c:v>101.6458333333333</c:v>
                </c:pt>
                <c:pt idx="1">
                  <c:v>102.7941666666667</c:v>
                </c:pt>
                <c:pt idx="2">
                  <c:v>118.8416666666667</c:v>
                </c:pt>
                <c:pt idx="3">
                  <c:v>127.2091666666667</c:v>
                </c:pt>
                <c:pt idx="4">
                  <c:v>134.33750000000001</c:v>
                </c:pt>
                <c:pt idx="5">
                  <c:v>154.66499999999999</c:v>
                </c:pt>
              </c:numCache>
            </c:numRef>
          </c:val>
          <c:extLst>
            <c:ext xmlns:c16="http://schemas.microsoft.com/office/drawing/2014/chart" uri="{C3380CC4-5D6E-409C-BE32-E72D297353CC}">
              <c16:uniqueId val="{00000003-DD5A-4EF7-ADD9-5E812D3A96BB}"/>
            </c:ext>
          </c:extLst>
        </c:ser>
        <c:ser>
          <c:idx val="4"/>
          <c:order val="4"/>
          <c:tx>
            <c:strRef>
              <c:f>[2]Sheet7!$W$4</c:f>
              <c:strCache>
                <c:ptCount val="1"/>
                <c:pt idx="0">
                  <c:v>Petrol</c:v>
                </c:pt>
              </c:strCache>
            </c:strRef>
          </c:tx>
          <c:spPr>
            <a:solidFill>
              <a:schemeClr val="accent5"/>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[2]Sheet7!$W$5:$W$10</c:f>
              <c:numCache>
                <c:formatCode>General</c:formatCode>
                <c:ptCount val="6"/>
                <c:pt idx="0">
                  <c:v>133.24</c:v>
                </c:pt>
                <c:pt idx="1">
                  <c:v>175.26416666666671</c:v>
                </c:pt>
                <c:pt idx="2">
                  <c:v>168.1791666666667</c:v>
                </c:pt>
                <c:pt idx="3">
                  <c:v>114.9916666666667</c:v>
                </c:pt>
                <c:pt idx="4">
                  <c:v>180.35249999999999</c:v>
                </c:pt>
                <c:pt idx="5">
                  <c:v>244.535</c:v>
                </c:pt>
              </c:numCache>
            </c:numRef>
          </c:val>
          <c:extLst>
            <c:ext xmlns:c16="http://schemas.microsoft.com/office/drawing/2014/chart" uri="{C3380CC4-5D6E-409C-BE32-E72D297353CC}">
              <c16:uniqueId val="{00000004-DD5A-4EF7-ADD9-5E812D3A96BB}"/>
            </c:ext>
          </c:extLst>
        </c:ser>
        <c:ser>
          <c:idx val="5"/>
          <c:order val="5"/>
          <c:tx>
            <c:strRef>
              <c:f>[2]Sheet7!$X$4</c:f>
              <c:strCache>
                <c:ptCount val="1"/>
                <c:pt idx="0">
                  <c:v>Gaze</c:v>
                </c:pt>
              </c:strCache>
            </c:strRef>
          </c:tx>
          <c:spPr>
            <a:solidFill>
              <a:schemeClr val="accent6"/>
            </a:solidFill>
            <a:ln>
              <a:noFill/>
            </a:ln>
            <a:effectLst/>
          </c:spPr>
          <c:invertIfNegative val="0"/>
          <c:cat>
            <c:numRef>
              <c:f>[2]Sheet7!$Q$5:$Q$10</c:f>
              <c:numCache>
                <c:formatCode>General</c:formatCode>
                <c:ptCount val="6"/>
                <c:pt idx="0">
                  <c:v>2017</c:v>
                </c:pt>
                <c:pt idx="1">
                  <c:v>2018</c:v>
                </c:pt>
                <c:pt idx="2">
                  <c:v>2019</c:v>
                </c:pt>
                <c:pt idx="3">
                  <c:v>2020</c:v>
                </c:pt>
                <c:pt idx="4">
                  <c:v>2021</c:v>
                </c:pt>
                <c:pt idx="5">
                  <c:v>2022</c:v>
                </c:pt>
              </c:numCache>
            </c:numRef>
          </c:cat>
          <c:val>
            <c:numRef>
              <c:f>[2]Sheet7!$X$5:$X$10</c:f>
              <c:numCache>
                <c:formatCode>General</c:formatCode>
                <c:ptCount val="6"/>
                <c:pt idx="0">
                  <c:v>96.725000000000009</c:v>
                </c:pt>
                <c:pt idx="1">
                  <c:v>107.66833333333329</c:v>
                </c:pt>
                <c:pt idx="2">
                  <c:v>112.9883333333333</c:v>
                </c:pt>
                <c:pt idx="3">
                  <c:v>94.61</c:v>
                </c:pt>
                <c:pt idx="4">
                  <c:v>124.6433333333334</c:v>
                </c:pt>
                <c:pt idx="5">
                  <c:v>314.83999999999997</c:v>
                </c:pt>
              </c:numCache>
            </c:numRef>
          </c:val>
          <c:extLst>
            <c:ext xmlns:c16="http://schemas.microsoft.com/office/drawing/2014/chart" uri="{C3380CC4-5D6E-409C-BE32-E72D297353CC}">
              <c16:uniqueId val="{00000005-DD5A-4EF7-ADD9-5E812D3A96BB}"/>
            </c:ext>
          </c:extLst>
        </c:ser>
        <c:ser>
          <c:idx val="6"/>
          <c:order val="6"/>
          <c:tx>
            <c:strRef>
              <c:f>[2]Sheet7!$U$4</c:f>
              <c:strCache>
                <c:ptCount val="1"/>
                <c:pt idx="0">
                  <c:v>Energie</c:v>
                </c:pt>
              </c:strCache>
            </c:strRef>
          </c:tx>
          <c:spPr>
            <a:solidFill>
              <a:schemeClr val="accent1">
                <a:lumMod val="60000"/>
              </a:schemeClr>
            </a:solidFill>
            <a:ln>
              <a:noFill/>
            </a:ln>
            <a:effectLst/>
          </c:spPr>
          <c:invertIfNegative val="0"/>
          <c:val>
            <c:numRef>
              <c:f>[2]Sheet7!$U$5:$U$10</c:f>
              <c:numCache>
                <c:formatCode>General</c:formatCode>
                <c:ptCount val="6"/>
                <c:pt idx="0">
                  <c:v>102.74250000000001</c:v>
                </c:pt>
                <c:pt idx="1">
                  <c:v>112.56</c:v>
                </c:pt>
                <c:pt idx="2">
                  <c:v>129.13749999999999</c:v>
                </c:pt>
                <c:pt idx="3">
                  <c:v>125.2166666666667</c:v>
                </c:pt>
                <c:pt idx="4">
                  <c:v>224.80583333333331</c:v>
                </c:pt>
                <c:pt idx="5">
                  <c:v>440.13499999999999</c:v>
                </c:pt>
              </c:numCache>
            </c:numRef>
          </c:val>
          <c:extLst>
            <c:ext xmlns:c16="http://schemas.microsoft.com/office/drawing/2014/chart" uri="{C3380CC4-5D6E-409C-BE32-E72D297353CC}">
              <c16:uniqueId val="{00000006-DD5A-4EF7-ADD9-5E812D3A96BB}"/>
            </c:ext>
          </c:extLst>
        </c:ser>
        <c:dLbls>
          <c:showLegendKey val="0"/>
          <c:showVal val="0"/>
          <c:showCatName val="0"/>
          <c:showSerName val="0"/>
          <c:showPercent val="0"/>
          <c:showBubbleSize val="0"/>
        </c:dLbls>
        <c:gapWidth val="219"/>
        <c:axId val="2142822856"/>
        <c:axId val="2144738488"/>
      </c:barChart>
      <c:catAx>
        <c:axId val="2142822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738488"/>
        <c:crosses val="autoZero"/>
        <c:auto val="1"/>
        <c:lblAlgn val="ctr"/>
        <c:lblOffset val="100"/>
        <c:noMultiLvlLbl val="0"/>
      </c:catAx>
      <c:valAx>
        <c:axId val="2144738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2822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o-RO"/>
              <a:t>Evoluție </a:t>
            </a:r>
            <a:r>
              <a:rPr lang="en-US"/>
              <a:t>i</a:t>
            </a:r>
            <a:r>
              <a:rPr lang="ro-RO"/>
              <a:t>ndicel</a:t>
            </a:r>
            <a:r>
              <a:rPr lang="en-US"/>
              <a:t>ui</a:t>
            </a:r>
            <a:r>
              <a:rPr lang="ro-RO"/>
              <a:t> anual al preturilor de consum</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'Matrice Indici Ajustare Anuala'!$N$3:$N$9</c:f>
              <c:strCache>
                <c:ptCount val="6"/>
                <c:pt idx="0">
                  <c:v>2017</c:v>
                </c:pt>
                <c:pt idx="1">
                  <c:v>2018</c:v>
                </c:pt>
                <c:pt idx="2">
                  <c:v>2019</c:v>
                </c:pt>
                <c:pt idx="3">
                  <c:v>2020</c:v>
                </c:pt>
                <c:pt idx="4">
                  <c:v>2021</c:v>
                </c:pt>
                <c:pt idx="5">
                  <c:v>2022</c:v>
                </c:pt>
              </c:strCache>
              <c:extLst/>
            </c:strRef>
          </c:cat>
          <c:val>
            <c:numRef>
              <c:f>'Matrice Indici Ajustare Anuala'!$V$3:$V$8</c:f>
              <c:numCache>
                <c:formatCode>0.00</c:formatCode>
                <c:ptCount val="5"/>
                <c:pt idx="0">
                  <c:v>100.78263</c:v>
                </c:pt>
                <c:pt idx="1">
                  <c:v>105.44886576899999</c:v>
                </c:pt>
                <c:pt idx="2">
                  <c:v>109.4875573279527</c:v>
                </c:pt>
                <c:pt idx="3">
                  <c:v>112.367080085678</c:v>
                </c:pt>
                <c:pt idx="4">
                  <c:v>118.04161763000459</c:v>
                </c:pt>
              </c:numCache>
              <c:extLst/>
            </c:numRef>
          </c:val>
          <c:extLst>
            <c:ext xmlns:c16="http://schemas.microsoft.com/office/drawing/2014/chart" uri="{C3380CC4-5D6E-409C-BE32-E72D297353CC}">
              <c16:uniqueId val="{00000000-0C98-4258-9D18-3BFEBDD824D4}"/>
            </c:ext>
          </c:extLst>
        </c:ser>
        <c:dLbls>
          <c:dLblPos val="inEnd"/>
          <c:showLegendKey val="0"/>
          <c:showVal val="1"/>
          <c:showCatName val="0"/>
          <c:showSerName val="0"/>
          <c:showPercent val="0"/>
          <c:showBubbleSize val="0"/>
        </c:dLbls>
        <c:gapWidth val="115"/>
        <c:overlap val="-20"/>
        <c:axId val="2144805672"/>
        <c:axId val="2140143704"/>
      </c:barChart>
      <c:catAx>
        <c:axId val="214480567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0143704"/>
        <c:crosses val="autoZero"/>
        <c:auto val="1"/>
        <c:lblAlgn val="ctr"/>
        <c:lblOffset val="100"/>
        <c:noMultiLvlLbl val="0"/>
      </c:catAx>
      <c:valAx>
        <c:axId val="214014370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805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o-RO"/>
              <a:t>Evoluția indicelui valorii unitare, la import, realizat</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'Matrice Indici Ajustare Anuala'!$N$3:$N$9</c:f>
              <c:strCache>
                <c:ptCount val="6"/>
                <c:pt idx="0">
                  <c:v>2017</c:v>
                </c:pt>
                <c:pt idx="1">
                  <c:v>2018</c:v>
                </c:pt>
                <c:pt idx="2">
                  <c:v>2019</c:v>
                </c:pt>
                <c:pt idx="3">
                  <c:v>2020</c:v>
                </c:pt>
                <c:pt idx="4">
                  <c:v>2021</c:v>
                </c:pt>
                <c:pt idx="5">
                  <c:v>2022</c:v>
                </c:pt>
              </c:strCache>
              <c:extLst/>
            </c:strRef>
          </c:cat>
          <c:val>
            <c:numRef>
              <c:f>'Matrice Indici Ajustare Anuala'!$AH$3:$AH$8</c:f>
              <c:numCache>
                <c:formatCode>0.00</c:formatCode>
                <c:ptCount val="5"/>
                <c:pt idx="0">
                  <c:v>102.94</c:v>
                </c:pt>
                <c:pt idx="1">
                  <c:v>105.441442</c:v>
                </c:pt>
                <c:pt idx="2">
                  <c:v>105.5679717304</c:v>
                </c:pt>
                <c:pt idx="3">
                  <c:v>101.1341169177232</c:v>
                </c:pt>
                <c:pt idx="4">
                  <c:v>109.5788156803531</c:v>
                </c:pt>
              </c:numCache>
              <c:extLst/>
            </c:numRef>
          </c:val>
          <c:extLst>
            <c:ext xmlns:c16="http://schemas.microsoft.com/office/drawing/2014/chart" uri="{C3380CC4-5D6E-409C-BE32-E72D297353CC}">
              <c16:uniqueId val="{00000000-B00C-4DA4-A556-AA60ECE54603}"/>
            </c:ext>
          </c:extLst>
        </c:ser>
        <c:dLbls>
          <c:showLegendKey val="0"/>
          <c:showVal val="1"/>
          <c:showCatName val="0"/>
          <c:showSerName val="0"/>
          <c:showPercent val="0"/>
          <c:showBubbleSize val="0"/>
        </c:dLbls>
        <c:gapWidth val="115"/>
        <c:overlap val="-20"/>
        <c:axId val="2144302152"/>
        <c:axId val="2143749816"/>
      </c:barChart>
      <c:catAx>
        <c:axId val="214430215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3749816"/>
        <c:crosses val="autoZero"/>
        <c:auto val="1"/>
        <c:lblAlgn val="ctr"/>
        <c:lblOffset val="100"/>
        <c:noMultiLvlLbl val="0"/>
      </c:catAx>
      <c:valAx>
        <c:axId val="2143749816"/>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302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withinLinear" id="16">
  <a:schemeClr val="accent3"/>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9BF83-D010-944F-9330-60F17D0BF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7843</Words>
  <Characters>44711</Characters>
  <Application>Microsoft Office Word</Application>
  <DocSecurity>0</DocSecurity>
  <Lines>372</Lines>
  <Paragraphs>104</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vt:lpstr>
    </vt:vector>
  </TitlesOfParts>
  <Company/>
  <LinksUpToDate>false</LinksUpToDate>
  <CharactersWithSpaces>52450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8</cp:revision>
  <cp:lastPrinted>2021-11-25T10:35:00Z</cp:lastPrinted>
  <dcterms:created xsi:type="dcterms:W3CDTF">2022-04-29T13:10:00Z</dcterms:created>
  <dcterms:modified xsi:type="dcterms:W3CDTF">2022-05-02T15:37:00Z</dcterms:modified>
</cp:coreProperties>
</file>